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6F2" w:rsidRDefault="002926F2" w:rsidP="009810F2">
      <w:pPr>
        <w:keepNext/>
        <w:keepLines/>
        <w:spacing w:before="120" w:after="120" w:line="240" w:lineRule="atLeast"/>
        <w:jc w:val="center"/>
        <w:outlineLvl w:val="0"/>
        <w:rPr>
          <w:rFonts w:ascii="Georgia" w:hAnsi="Georgia"/>
          <w:b/>
          <w:bCs/>
          <w:i/>
          <w:sz w:val="24"/>
          <w:szCs w:val="24"/>
        </w:rPr>
      </w:pPr>
      <w:bookmarkStart w:id="0" w:name="_GoBack"/>
      <w:bookmarkEnd w:id="0"/>
    </w:p>
    <w:p w:rsidR="00BD5D33" w:rsidRPr="009810F2" w:rsidRDefault="00BD5D33" w:rsidP="009810F2">
      <w:pPr>
        <w:keepNext/>
        <w:keepLines/>
        <w:spacing w:before="120" w:after="120" w:line="240" w:lineRule="atLeast"/>
        <w:jc w:val="center"/>
        <w:outlineLvl w:val="0"/>
        <w:rPr>
          <w:rFonts w:ascii="Georgia" w:hAnsi="Georgia"/>
          <w:b/>
          <w:bCs/>
          <w:i/>
          <w:sz w:val="24"/>
          <w:szCs w:val="24"/>
        </w:rPr>
      </w:pPr>
      <w:r w:rsidRPr="009810F2">
        <w:rPr>
          <w:rFonts w:ascii="Georgia" w:hAnsi="Georgia"/>
          <w:b/>
          <w:bCs/>
          <w:i/>
          <w:sz w:val="24"/>
          <w:szCs w:val="24"/>
        </w:rPr>
        <w:t xml:space="preserve">The </w:t>
      </w:r>
      <w:r w:rsidR="009810F2" w:rsidRPr="009810F2">
        <w:rPr>
          <w:rFonts w:ascii="Georgia" w:hAnsi="Georgia"/>
          <w:b/>
          <w:bCs/>
          <w:i/>
          <w:sz w:val="24"/>
          <w:szCs w:val="24"/>
        </w:rPr>
        <w:t xml:space="preserve">Kenya </w:t>
      </w:r>
      <w:r w:rsidR="00895BD3" w:rsidRPr="009810F2">
        <w:rPr>
          <w:rFonts w:ascii="Georgia" w:hAnsi="Georgia"/>
          <w:b/>
          <w:bCs/>
          <w:i/>
          <w:sz w:val="24"/>
          <w:szCs w:val="24"/>
        </w:rPr>
        <w:t xml:space="preserve">2030 </w:t>
      </w:r>
      <w:r w:rsidR="009810F2" w:rsidRPr="009810F2">
        <w:rPr>
          <w:rFonts w:ascii="Georgia" w:hAnsi="Georgia"/>
          <w:b/>
          <w:bCs/>
          <w:i/>
          <w:sz w:val="24"/>
          <w:szCs w:val="24"/>
        </w:rPr>
        <w:t>Water Resource Group Partnership</w:t>
      </w:r>
    </w:p>
    <w:p w:rsidR="00BD5D33" w:rsidRPr="009810F2" w:rsidRDefault="00066994" w:rsidP="009810F2">
      <w:pPr>
        <w:keepNext/>
        <w:keepLines/>
        <w:spacing w:before="120" w:after="120" w:line="240" w:lineRule="atLeast"/>
        <w:jc w:val="center"/>
        <w:outlineLvl w:val="1"/>
        <w:rPr>
          <w:rFonts w:ascii="Georgia" w:hAnsi="Georgia"/>
          <w:b/>
          <w:bCs/>
          <w:i/>
          <w:color w:val="00518E"/>
          <w:sz w:val="20"/>
          <w:szCs w:val="20"/>
        </w:rPr>
      </w:pPr>
      <w:r>
        <w:rPr>
          <w:rFonts w:ascii="Georgia" w:hAnsi="Georgia"/>
          <w:b/>
          <w:bCs/>
          <w:i/>
          <w:color w:val="00518E"/>
          <w:sz w:val="20"/>
          <w:szCs w:val="20"/>
        </w:rPr>
        <w:t>Minutes of the Roundtable meeting at Serena Hotel on 10 March 2015</w:t>
      </w:r>
    </w:p>
    <w:p w:rsidR="00BD5D33" w:rsidRPr="009810F2" w:rsidRDefault="00BD5D33" w:rsidP="009810F2">
      <w:pPr>
        <w:keepNext/>
        <w:keepLines/>
        <w:spacing w:before="120" w:after="0" w:line="240" w:lineRule="atLeast"/>
        <w:outlineLvl w:val="1"/>
        <w:rPr>
          <w:rFonts w:ascii="Georgia" w:hAnsi="Georgia"/>
          <w:b/>
          <w:bCs/>
          <w:i/>
          <w:sz w:val="20"/>
          <w:szCs w:val="20"/>
        </w:rPr>
      </w:pPr>
    </w:p>
    <w:p w:rsidR="009810F2" w:rsidRPr="009810F2" w:rsidRDefault="00066994" w:rsidP="009810F2">
      <w:pPr>
        <w:spacing w:after="0" w:line="240" w:lineRule="atLeast"/>
        <w:rPr>
          <w:rFonts w:ascii="Georgia" w:hAnsi="Georgia"/>
          <w:sz w:val="20"/>
          <w:szCs w:val="20"/>
        </w:rPr>
      </w:pPr>
      <w:r w:rsidRPr="00066994">
        <w:rPr>
          <w:rFonts w:ascii="Georgia" w:hAnsi="Georgia"/>
          <w:sz w:val="20"/>
          <w:szCs w:val="20"/>
        </w:rPr>
        <w:t xml:space="preserve">The </w:t>
      </w:r>
      <w:r>
        <w:rPr>
          <w:rFonts w:ascii="Georgia" w:hAnsi="Georgia"/>
          <w:sz w:val="20"/>
          <w:szCs w:val="20"/>
        </w:rPr>
        <w:t xml:space="preserve">purpose of this Roundtable meeting was to gather a small group </w:t>
      </w:r>
      <w:r w:rsidR="009A1A3A">
        <w:rPr>
          <w:rFonts w:ascii="Georgia" w:hAnsi="Georgia"/>
          <w:sz w:val="20"/>
          <w:szCs w:val="20"/>
        </w:rPr>
        <w:t xml:space="preserve">of </w:t>
      </w:r>
      <w:r w:rsidR="009A1A3A" w:rsidRPr="009A1A3A">
        <w:rPr>
          <w:rFonts w:ascii="Georgia" w:hAnsi="Georgia"/>
          <w:sz w:val="20"/>
          <w:szCs w:val="20"/>
        </w:rPr>
        <w:t xml:space="preserve">lead stakeholders </w:t>
      </w:r>
      <w:r w:rsidR="00A1565A">
        <w:rPr>
          <w:rFonts w:ascii="Georgia" w:hAnsi="Georgia"/>
          <w:sz w:val="20"/>
          <w:szCs w:val="20"/>
        </w:rPr>
        <w:t>and those</w:t>
      </w:r>
      <w:r w:rsidR="009A1A3A" w:rsidRPr="009A1A3A">
        <w:rPr>
          <w:rFonts w:ascii="Georgia" w:hAnsi="Georgia"/>
          <w:sz w:val="20"/>
          <w:szCs w:val="20"/>
        </w:rPr>
        <w:t xml:space="preserve"> most active in the discussions to date</w:t>
      </w:r>
      <w:r w:rsidR="009A1A3A">
        <w:rPr>
          <w:rFonts w:ascii="Georgia" w:hAnsi="Georgia"/>
          <w:sz w:val="20"/>
          <w:szCs w:val="20"/>
        </w:rPr>
        <w:t xml:space="preserve"> </w:t>
      </w:r>
      <w:r w:rsidR="000B470F">
        <w:rPr>
          <w:rFonts w:ascii="Georgia" w:hAnsi="Georgia"/>
          <w:sz w:val="20"/>
          <w:szCs w:val="20"/>
        </w:rPr>
        <w:t>to get an endorsement of the proposed Partnership structure</w:t>
      </w:r>
      <w:r>
        <w:rPr>
          <w:rFonts w:ascii="Georgia" w:hAnsi="Georgia"/>
          <w:sz w:val="20"/>
          <w:szCs w:val="20"/>
        </w:rPr>
        <w:t>. A total of 16</w:t>
      </w:r>
      <w:r w:rsidR="009810F2" w:rsidRPr="009810F2">
        <w:rPr>
          <w:rFonts w:ascii="Georgia" w:hAnsi="Georgia"/>
          <w:sz w:val="20"/>
          <w:szCs w:val="20"/>
        </w:rPr>
        <w:t xml:space="preserve"> participants </w:t>
      </w:r>
      <w:r w:rsidR="000B470F">
        <w:rPr>
          <w:rFonts w:ascii="Georgia" w:hAnsi="Georgia"/>
          <w:sz w:val="20"/>
          <w:szCs w:val="20"/>
        </w:rPr>
        <w:t>representing</w:t>
      </w:r>
      <w:r>
        <w:rPr>
          <w:rFonts w:ascii="Georgia" w:hAnsi="Georgia"/>
          <w:sz w:val="20"/>
          <w:szCs w:val="20"/>
        </w:rPr>
        <w:t xml:space="preserve"> </w:t>
      </w:r>
      <w:r w:rsidR="009810F2" w:rsidRPr="009810F2">
        <w:rPr>
          <w:rFonts w:ascii="Georgia" w:hAnsi="Georgia"/>
          <w:sz w:val="20"/>
          <w:szCs w:val="20"/>
        </w:rPr>
        <w:t>the public</w:t>
      </w:r>
      <w:r>
        <w:rPr>
          <w:rFonts w:ascii="Georgia" w:hAnsi="Georgia"/>
          <w:sz w:val="20"/>
          <w:szCs w:val="20"/>
        </w:rPr>
        <w:t>- and</w:t>
      </w:r>
      <w:r w:rsidR="009810F2" w:rsidRPr="009810F2">
        <w:rPr>
          <w:rFonts w:ascii="Georgia" w:hAnsi="Georgia"/>
          <w:sz w:val="20"/>
          <w:szCs w:val="20"/>
        </w:rPr>
        <w:t xml:space="preserve"> private</w:t>
      </w:r>
      <w:r>
        <w:rPr>
          <w:rFonts w:ascii="Georgia" w:hAnsi="Georgia"/>
          <w:sz w:val="20"/>
          <w:szCs w:val="20"/>
        </w:rPr>
        <w:t xml:space="preserve"> sector, alongside civil society and research</w:t>
      </w:r>
      <w:r w:rsidR="000B470F">
        <w:rPr>
          <w:rFonts w:ascii="Georgia" w:hAnsi="Georgia"/>
          <w:sz w:val="20"/>
          <w:szCs w:val="20"/>
        </w:rPr>
        <w:t xml:space="preserve"> contributed to the discussion (as per</w:t>
      </w:r>
      <w:r w:rsidR="00BD5D33" w:rsidRPr="009810F2">
        <w:rPr>
          <w:rFonts w:ascii="Georgia" w:hAnsi="Georgia"/>
          <w:bCs/>
          <w:sz w:val="20"/>
          <w:szCs w:val="20"/>
        </w:rPr>
        <w:t xml:space="preserve"> attached </w:t>
      </w:r>
      <w:r w:rsidR="000B470F">
        <w:rPr>
          <w:rFonts w:ascii="Georgia" w:hAnsi="Georgia"/>
          <w:bCs/>
          <w:sz w:val="20"/>
          <w:szCs w:val="20"/>
        </w:rPr>
        <w:t>Participants</w:t>
      </w:r>
      <w:r w:rsidR="000D083C">
        <w:rPr>
          <w:rFonts w:ascii="Georgia" w:hAnsi="Georgia"/>
          <w:bCs/>
          <w:sz w:val="20"/>
          <w:szCs w:val="20"/>
        </w:rPr>
        <w:t xml:space="preserve"> </w:t>
      </w:r>
      <w:r w:rsidR="00BD5D33" w:rsidRPr="009810F2">
        <w:rPr>
          <w:rFonts w:ascii="Georgia" w:hAnsi="Georgia"/>
          <w:bCs/>
          <w:sz w:val="20"/>
          <w:szCs w:val="20"/>
        </w:rPr>
        <w:t>list</w:t>
      </w:r>
      <w:r w:rsidR="000B470F">
        <w:rPr>
          <w:rFonts w:ascii="Georgia" w:hAnsi="Georgia"/>
          <w:bCs/>
          <w:sz w:val="20"/>
          <w:szCs w:val="20"/>
        </w:rPr>
        <w:t>)</w:t>
      </w:r>
      <w:r w:rsidR="009810F2" w:rsidRPr="009810F2">
        <w:rPr>
          <w:rFonts w:ascii="Georgia" w:hAnsi="Georgia"/>
          <w:bCs/>
          <w:sz w:val="20"/>
          <w:szCs w:val="20"/>
        </w:rPr>
        <w:t>.</w:t>
      </w:r>
    </w:p>
    <w:p w:rsidR="009810F2" w:rsidRPr="009810F2" w:rsidRDefault="009810F2" w:rsidP="009810F2">
      <w:pPr>
        <w:keepNext/>
        <w:keepLines/>
        <w:spacing w:before="120" w:after="120" w:line="240" w:lineRule="atLeast"/>
        <w:jc w:val="both"/>
        <w:outlineLvl w:val="1"/>
        <w:rPr>
          <w:rFonts w:ascii="Georgia" w:hAnsi="Georgia"/>
          <w:b/>
          <w:bCs/>
          <w:i/>
          <w:color w:val="00518E"/>
          <w:sz w:val="20"/>
          <w:szCs w:val="20"/>
        </w:rPr>
      </w:pPr>
    </w:p>
    <w:tbl>
      <w:tblPr>
        <w:tblW w:w="9640" w:type="dxa"/>
        <w:tblCellMar>
          <w:left w:w="0" w:type="dxa"/>
          <w:right w:w="0" w:type="dxa"/>
        </w:tblCellMar>
        <w:tblLook w:val="01E0" w:firstRow="1" w:lastRow="1" w:firstColumn="1" w:lastColumn="1" w:noHBand="0" w:noVBand="0"/>
      </w:tblPr>
      <w:tblGrid>
        <w:gridCol w:w="1667"/>
        <w:gridCol w:w="4733"/>
        <w:gridCol w:w="3240"/>
      </w:tblGrid>
      <w:tr w:rsidR="00850A6B" w:rsidRPr="0070529E" w:rsidTr="0052614F">
        <w:trPr>
          <w:trHeight w:val="268"/>
        </w:trPr>
        <w:tc>
          <w:tcPr>
            <w:tcW w:w="6400"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5" w:type="dxa"/>
              <w:left w:w="100" w:type="dxa"/>
              <w:bottom w:w="0" w:type="dxa"/>
              <w:right w:w="100" w:type="dxa"/>
            </w:tcMar>
            <w:hideMark/>
          </w:tcPr>
          <w:p w:rsidR="00850A6B" w:rsidRPr="0070529E" w:rsidRDefault="00850A6B" w:rsidP="0080778B">
            <w:pPr>
              <w:keepNext/>
              <w:keepLines/>
              <w:spacing w:after="0" w:line="240" w:lineRule="auto"/>
              <w:outlineLvl w:val="1"/>
              <w:rPr>
                <w:rFonts w:ascii="Georgia" w:hAnsi="Georgia"/>
                <w:b/>
                <w:bCs/>
                <w:sz w:val="20"/>
                <w:szCs w:val="20"/>
              </w:rPr>
            </w:pPr>
            <w:r>
              <w:rPr>
                <w:rFonts w:ascii="Georgia" w:hAnsi="Georgia"/>
                <w:b/>
                <w:bCs/>
                <w:sz w:val="20"/>
                <w:szCs w:val="20"/>
              </w:rPr>
              <w:t>Agenda</w:t>
            </w:r>
          </w:p>
        </w:tc>
        <w:tc>
          <w:tcPr>
            <w:tcW w:w="3240" w:type="dxa"/>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5" w:type="dxa"/>
              <w:left w:w="100" w:type="dxa"/>
              <w:bottom w:w="0" w:type="dxa"/>
              <w:right w:w="100" w:type="dxa"/>
            </w:tcMar>
            <w:hideMark/>
          </w:tcPr>
          <w:p w:rsidR="00850A6B" w:rsidRPr="0070529E" w:rsidRDefault="00850A6B" w:rsidP="0080778B">
            <w:pPr>
              <w:keepNext/>
              <w:keepLines/>
              <w:spacing w:after="0" w:line="240" w:lineRule="auto"/>
              <w:outlineLvl w:val="1"/>
              <w:rPr>
                <w:rFonts w:ascii="Georgia" w:hAnsi="Georgia"/>
                <w:b/>
                <w:bCs/>
                <w:sz w:val="20"/>
                <w:szCs w:val="20"/>
              </w:rPr>
            </w:pPr>
            <w:r>
              <w:rPr>
                <w:rFonts w:ascii="Georgia" w:hAnsi="Georgia"/>
                <w:b/>
                <w:bCs/>
                <w:sz w:val="20"/>
                <w:szCs w:val="20"/>
              </w:rPr>
              <w:t>Speaker/Facilitator</w:t>
            </w:r>
          </w:p>
        </w:tc>
      </w:tr>
      <w:tr w:rsidR="00BD5D33" w:rsidRPr="0070529E" w:rsidTr="009810F2">
        <w:trPr>
          <w:trHeight w:val="268"/>
        </w:trPr>
        <w:tc>
          <w:tcPr>
            <w:tcW w:w="16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850A6B" w:rsidP="0080778B">
            <w:pPr>
              <w:keepNext/>
              <w:keepLines/>
              <w:spacing w:after="0" w:line="240" w:lineRule="auto"/>
              <w:outlineLvl w:val="1"/>
              <w:rPr>
                <w:rFonts w:ascii="Georgia" w:hAnsi="Georgia"/>
                <w:bCs/>
                <w:sz w:val="20"/>
                <w:szCs w:val="20"/>
              </w:rPr>
            </w:pPr>
            <w:r>
              <w:rPr>
                <w:rFonts w:ascii="Georgia" w:hAnsi="Georgia"/>
                <w:bCs/>
                <w:sz w:val="20"/>
                <w:szCs w:val="20"/>
              </w:rPr>
              <w:t>7.00 – 7.30</w:t>
            </w:r>
          </w:p>
        </w:tc>
        <w:tc>
          <w:tcPr>
            <w:tcW w:w="47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850A6B" w:rsidP="0080778B">
            <w:pPr>
              <w:keepNext/>
              <w:keepLines/>
              <w:spacing w:after="0" w:line="240" w:lineRule="auto"/>
              <w:outlineLvl w:val="1"/>
              <w:rPr>
                <w:rFonts w:ascii="Georgia" w:hAnsi="Georgia"/>
                <w:bCs/>
                <w:sz w:val="20"/>
                <w:szCs w:val="20"/>
              </w:rPr>
            </w:pPr>
            <w:r w:rsidRPr="003F545A">
              <w:rPr>
                <w:rFonts w:ascii="Times New Roman" w:hAnsi="Times New Roman" w:cs="Times New Roman"/>
                <w:i/>
              </w:rPr>
              <w:t xml:space="preserve">Registration and </w:t>
            </w:r>
            <w:r>
              <w:rPr>
                <w:rFonts w:ascii="Times New Roman" w:hAnsi="Times New Roman" w:cs="Times New Roman"/>
                <w:i/>
              </w:rPr>
              <w:t>breakfast</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p>
        </w:tc>
      </w:tr>
      <w:tr w:rsidR="00BD5D33" w:rsidRPr="0070529E" w:rsidTr="00850A6B">
        <w:trPr>
          <w:trHeight w:val="577"/>
        </w:trPr>
        <w:tc>
          <w:tcPr>
            <w:tcW w:w="16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850A6B" w:rsidRDefault="00850A6B" w:rsidP="00850A6B">
            <w:pPr>
              <w:pStyle w:val="ListParagraph"/>
              <w:keepNext/>
              <w:keepLines/>
              <w:numPr>
                <w:ilvl w:val="1"/>
                <w:numId w:val="21"/>
              </w:numPr>
              <w:outlineLvl w:val="1"/>
              <w:rPr>
                <w:rFonts w:ascii="Georgia" w:hAnsi="Georgia"/>
                <w:bCs/>
                <w:sz w:val="20"/>
                <w:szCs w:val="20"/>
              </w:rPr>
            </w:pPr>
            <w:r w:rsidRPr="00850A6B">
              <w:rPr>
                <w:rFonts w:ascii="Georgia" w:hAnsi="Georgia"/>
                <w:bCs/>
                <w:sz w:val="20"/>
                <w:szCs w:val="20"/>
              </w:rPr>
              <w:t>– 7.4</w:t>
            </w:r>
            <w:r w:rsidR="00BD5D33" w:rsidRPr="00850A6B">
              <w:rPr>
                <w:rFonts w:ascii="Georgia" w:hAnsi="Georgia"/>
                <w:bCs/>
                <w:sz w:val="20"/>
                <w:szCs w:val="20"/>
              </w:rPr>
              <w:t>0</w:t>
            </w:r>
          </w:p>
        </w:tc>
        <w:tc>
          <w:tcPr>
            <w:tcW w:w="47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850A6B" w:rsidP="00850A6B">
            <w:pPr>
              <w:keepNext/>
              <w:keepLines/>
              <w:spacing w:after="0" w:line="240" w:lineRule="auto"/>
              <w:outlineLvl w:val="1"/>
              <w:rPr>
                <w:rFonts w:ascii="Georgia" w:hAnsi="Georgia"/>
                <w:bCs/>
                <w:sz w:val="20"/>
                <w:szCs w:val="20"/>
              </w:rPr>
            </w:pPr>
            <w:r>
              <w:rPr>
                <w:rFonts w:ascii="Times New Roman" w:hAnsi="Times New Roman" w:cs="Times New Roman"/>
              </w:rPr>
              <w:t>I</w:t>
            </w:r>
            <w:r w:rsidRPr="003F545A">
              <w:rPr>
                <w:rFonts w:ascii="Times New Roman" w:hAnsi="Times New Roman" w:cs="Times New Roman"/>
              </w:rPr>
              <w:t>ntroduction and welcome</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CA13CC" w:rsidP="00850A6B">
            <w:pPr>
              <w:keepNext/>
              <w:keepLines/>
              <w:spacing w:after="0" w:line="240" w:lineRule="auto"/>
              <w:outlineLvl w:val="1"/>
              <w:rPr>
                <w:rFonts w:ascii="Georgia" w:hAnsi="Georgia"/>
                <w:bCs/>
                <w:sz w:val="20"/>
                <w:szCs w:val="20"/>
              </w:rPr>
            </w:pPr>
            <w:r>
              <w:rPr>
                <w:rFonts w:ascii="Georgia" w:hAnsi="Georgia"/>
                <w:bCs/>
                <w:sz w:val="20"/>
                <w:szCs w:val="20"/>
              </w:rPr>
              <w:t>MEWNR H</w:t>
            </w:r>
            <w:r w:rsidR="00BD5D33" w:rsidRPr="0070529E">
              <w:rPr>
                <w:rFonts w:ascii="Georgia" w:hAnsi="Georgia"/>
                <w:bCs/>
                <w:sz w:val="20"/>
                <w:szCs w:val="20"/>
              </w:rPr>
              <w:t>ost</w:t>
            </w:r>
            <w:r>
              <w:rPr>
                <w:rFonts w:ascii="Georgia" w:hAnsi="Georgia"/>
                <w:bCs/>
                <w:sz w:val="20"/>
                <w:szCs w:val="20"/>
              </w:rPr>
              <w:t>,</w:t>
            </w:r>
            <w:r w:rsidR="00850A6B">
              <w:rPr>
                <w:rFonts w:ascii="Georgia" w:hAnsi="Georgia"/>
                <w:bCs/>
                <w:sz w:val="20"/>
                <w:szCs w:val="20"/>
              </w:rPr>
              <w:t xml:space="preserve"> </w:t>
            </w:r>
            <w:r w:rsidR="00850A6B" w:rsidRPr="0070529E">
              <w:rPr>
                <w:rFonts w:ascii="Georgia" w:hAnsi="Georgia"/>
                <w:bCs/>
                <w:sz w:val="20"/>
                <w:szCs w:val="20"/>
              </w:rPr>
              <w:t>Eng. Kimanthi Kyengo, MEWNR</w:t>
            </w:r>
          </w:p>
        </w:tc>
      </w:tr>
      <w:tr w:rsidR="00BD5D33" w:rsidRPr="0070529E" w:rsidTr="009810F2">
        <w:trPr>
          <w:trHeight w:val="361"/>
        </w:trPr>
        <w:tc>
          <w:tcPr>
            <w:tcW w:w="16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850A6B" w:rsidP="0080778B">
            <w:pPr>
              <w:keepNext/>
              <w:keepLines/>
              <w:spacing w:after="0" w:line="240" w:lineRule="auto"/>
              <w:outlineLvl w:val="1"/>
              <w:rPr>
                <w:rFonts w:ascii="Georgia" w:hAnsi="Georgia"/>
                <w:bCs/>
                <w:sz w:val="20"/>
                <w:szCs w:val="20"/>
              </w:rPr>
            </w:pPr>
            <w:r>
              <w:rPr>
                <w:rFonts w:ascii="Georgia" w:hAnsi="Georgia"/>
                <w:bCs/>
                <w:sz w:val="20"/>
                <w:szCs w:val="20"/>
              </w:rPr>
              <w:t>7.40 – 7.5</w:t>
            </w:r>
            <w:r w:rsidR="00BD5D33" w:rsidRPr="0070529E">
              <w:rPr>
                <w:rFonts w:ascii="Georgia" w:hAnsi="Georgia"/>
                <w:bCs/>
                <w:sz w:val="20"/>
                <w:szCs w:val="20"/>
              </w:rPr>
              <w:t xml:space="preserve">0 </w:t>
            </w:r>
          </w:p>
        </w:tc>
        <w:tc>
          <w:tcPr>
            <w:tcW w:w="47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850A6B" w:rsidP="0080778B">
            <w:pPr>
              <w:keepNext/>
              <w:keepLines/>
              <w:spacing w:after="0" w:line="240" w:lineRule="auto"/>
              <w:outlineLvl w:val="1"/>
              <w:rPr>
                <w:rFonts w:ascii="Georgia" w:hAnsi="Georgia"/>
                <w:bCs/>
                <w:sz w:val="20"/>
                <w:szCs w:val="20"/>
              </w:rPr>
            </w:pPr>
            <w:r>
              <w:rPr>
                <w:rFonts w:ascii="Times New Roman" w:hAnsi="Times New Roman" w:cs="Times New Roman"/>
              </w:rPr>
              <w:t>Context and highlights from the preliminary hydro-economic analysis</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850A6B" w:rsidP="0080778B">
            <w:pPr>
              <w:keepNext/>
              <w:keepLines/>
              <w:spacing w:after="0" w:line="240" w:lineRule="auto"/>
              <w:outlineLvl w:val="1"/>
              <w:rPr>
                <w:rFonts w:ascii="Georgia" w:hAnsi="Georgia"/>
                <w:bCs/>
                <w:sz w:val="20"/>
                <w:szCs w:val="20"/>
              </w:rPr>
            </w:pPr>
            <w:r>
              <w:rPr>
                <w:rFonts w:ascii="Georgia" w:hAnsi="Georgia"/>
                <w:bCs/>
                <w:sz w:val="20"/>
                <w:szCs w:val="20"/>
              </w:rPr>
              <w:t xml:space="preserve">Will Davies &amp; Josephine Gustafsson, 2030 WRG </w:t>
            </w:r>
          </w:p>
        </w:tc>
      </w:tr>
      <w:tr w:rsidR="00BD5D33" w:rsidRPr="0070529E" w:rsidTr="009810F2">
        <w:trPr>
          <w:trHeight w:val="365"/>
        </w:trPr>
        <w:tc>
          <w:tcPr>
            <w:tcW w:w="16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850A6B" w:rsidP="0080778B">
            <w:pPr>
              <w:keepNext/>
              <w:keepLines/>
              <w:spacing w:after="0" w:line="240" w:lineRule="auto"/>
              <w:outlineLvl w:val="1"/>
              <w:rPr>
                <w:rFonts w:ascii="Georgia" w:hAnsi="Georgia"/>
                <w:bCs/>
                <w:sz w:val="20"/>
                <w:szCs w:val="20"/>
              </w:rPr>
            </w:pPr>
            <w:r>
              <w:rPr>
                <w:rFonts w:ascii="Georgia" w:hAnsi="Georgia"/>
                <w:bCs/>
                <w:sz w:val="20"/>
                <w:szCs w:val="20"/>
              </w:rPr>
              <w:t>7.50 – 8.0</w:t>
            </w:r>
            <w:r w:rsidR="00BD5D33" w:rsidRPr="0070529E">
              <w:rPr>
                <w:rFonts w:ascii="Georgia" w:hAnsi="Georgia"/>
                <w:bCs/>
                <w:sz w:val="20"/>
                <w:szCs w:val="20"/>
              </w:rPr>
              <w:t>0</w:t>
            </w:r>
          </w:p>
        </w:tc>
        <w:tc>
          <w:tcPr>
            <w:tcW w:w="47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3634D" w:rsidP="0080778B">
            <w:pPr>
              <w:keepNext/>
              <w:keepLines/>
              <w:spacing w:after="0" w:line="240" w:lineRule="auto"/>
              <w:outlineLvl w:val="1"/>
              <w:rPr>
                <w:rFonts w:ascii="Georgia" w:hAnsi="Georgia"/>
                <w:bCs/>
                <w:sz w:val="20"/>
                <w:szCs w:val="20"/>
              </w:rPr>
            </w:pPr>
            <w:r>
              <w:rPr>
                <w:rFonts w:ascii="Times New Roman" w:hAnsi="Times New Roman" w:cs="Times New Roman"/>
              </w:rPr>
              <w:t>The Kenya 2030 WRG Partnership: Proposed partnership structure &amp; priority focus areas</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850A6B" w:rsidP="0080778B">
            <w:pPr>
              <w:keepNext/>
              <w:keepLines/>
              <w:spacing w:after="0" w:line="240" w:lineRule="auto"/>
              <w:outlineLvl w:val="1"/>
              <w:rPr>
                <w:rFonts w:ascii="Georgia" w:hAnsi="Georgia"/>
                <w:bCs/>
                <w:sz w:val="20"/>
                <w:szCs w:val="20"/>
              </w:rPr>
            </w:pPr>
            <w:r w:rsidRPr="0070529E">
              <w:rPr>
                <w:rFonts w:ascii="Georgia" w:hAnsi="Georgia"/>
                <w:bCs/>
                <w:sz w:val="20"/>
                <w:szCs w:val="20"/>
              </w:rPr>
              <w:t>Eng. Kimanthi Kyengo, MEWNR</w:t>
            </w:r>
          </w:p>
        </w:tc>
      </w:tr>
      <w:tr w:rsidR="00BD5D33" w:rsidRPr="0070529E" w:rsidTr="009810F2">
        <w:trPr>
          <w:trHeight w:val="268"/>
        </w:trPr>
        <w:tc>
          <w:tcPr>
            <w:tcW w:w="16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CA13CC" w:rsidP="0080778B">
            <w:pPr>
              <w:keepNext/>
              <w:keepLines/>
              <w:spacing w:after="0" w:line="240" w:lineRule="auto"/>
              <w:outlineLvl w:val="1"/>
              <w:rPr>
                <w:rFonts w:ascii="Georgia" w:hAnsi="Georgia"/>
                <w:bCs/>
                <w:sz w:val="20"/>
                <w:szCs w:val="20"/>
              </w:rPr>
            </w:pPr>
            <w:r>
              <w:rPr>
                <w:rFonts w:ascii="Georgia" w:hAnsi="Georgia"/>
                <w:bCs/>
                <w:sz w:val="20"/>
                <w:szCs w:val="20"/>
              </w:rPr>
              <w:t>8.00 – 8.4</w:t>
            </w:r>
            <w:r w:rsidR="00BD5D33" w:rsidRPr="0070529E">
              <w:rPr>
                <w:rFonts w:ascii="Georgia" w:hAnsi="Georgia"/>
                <w:bCs/>
                <w:sz w:val="20"/>
                <w:szCs w:val="20"/>
              </w:rPr>
              <w:t>0</w:t>
            </w:r>
          </w:p>
        </w:tc>
        <w:tc>
          <w:tcPr>
            <w:tcW w:w="47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CA13CC" w:rsidRDefault="00CA13CC" w:rsidP="00CA13CC">
            <w:pPr>
              <w:rPr>
                <w:rFonts w:ascii="Times New Roman" w:hAnsi="Times New Roman" w:cs="Times New Roman"/>
              </w:rPr>
            </w:pPr>
            <w:r>
              <w:rPr>
                <w:rFonts w:ascii="Times New Roman" w:hAnsi="Times New Roman" w:cs="Times New Roman"/>
              </w:rPr>
              <w:t>Roundtable discussion and questions on:</w:t>
            </w:r>
          </w:p>
          <w:p w:rsidR="00CA13CC" w:rsidRPr="00582628" w:rsidRDefault="00CA13CC" w:rsidP="00CA13CC">
            <w:pPr>
              <w:pStyle w:val="ListParagraph"/>
              <w:numPr>
                <w:ilvl w:val="0"/>
                <w:numId w:val="20"/>
              </w:numPr>
              <w:spacing w:before="100" w:after="100" w:line="264" w:lineRule="auto"/>
              <w:ind w:left="162" w:hanging="90"/>
              <w:contextualSpacing w:val="0"/>
              <w:jc w:val="left"/>
              <w:rPr>
                <w:rFonts w:cs="Times New Roman"/>
              </w:rPr>
            </w:pPr>
            <w:r w:rsidRPr="00582628">
              <w:rPr>
                <w:rFonts w:cs="Times New Roman"/>
              </w:rPr>
              <w:t>Partnership structure and focus areas</w:t>
            </w:r>
          </w:p>
          <w:p w:rsidR="00CA13CC" w:rsidRDefault="00CA13CC" w:rsidP="00CA13CC">
            <w:pPr>
              <w:pStyle w:val="ListParagraph"/>
              <w:numPr>
                <w:ilvl w:val="0"/>
                <w:numId w:val="20"/>
              </w:numPr>
              <w:spacing w:before="100" w:after="100" w:line="264" w:lineRule="auto"/>
              <w:ind w:left="162" w:hanging="90"/>
              <w:contextualSpacing w:val="0"/>
              <w:jc w:val="left"/>
              <w:rPr>
                <w:rFonts w:cs="Times New Roman"/>
              </w:rPr>
            </w:pPr>
            <w:r w:rsidRPr="00582628">
              <w:rPr>
                <w:rFonts w:cs="Times New Roman"/>
              </w:rPr>
              <w:t>Selection of Steering Board members</w:t>
            </w:r>
          </w:p>
          <w:p w:rsidR="00BD5D33" w:rsidRPr="00CA13CC" w:rsidRDefault="00CA13CC" w:rsidP="00CA13CC">
            <w:pPr>
              <w:pStyle w:val="ListParagraph"/>
              <w:numPr>
                <w:ilvl w:val="0"/>
                <w:numId w:val="20"/>
              </w:numPr>
              <w:spacing w:before="100" w:after="100" w:line="264" w:lineRule="auto"/>
              <w:ind w:left="162" w:hanging="90"/>
              <w:contextualSpacing w:val="0"/>
              <w:jc w:val="left"/>
              <w:rPr>
                <w:rFonts w:cs="Times New Roman"/>
              </w:rPr>
            </w:pPr>
            <w:r w:rsidRPr="00CA13CC">
              <w:rPr>
                <w:rFonts w:cs="Times New Roman"/>
              </w:rPr>
              <w:t>Opportunities to build on existing initiatives in Kenya (at county / catchment / national level)</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2136F" w:rsidP="0080778B">
            <w:pPr>
              <w:keepNext/>
              <w:keepLines/>
              <w:spacing w:after="0" w:line="240" w:lineRule="auto"/>
              <w:outlineLvl w:val="1"/>
              <w:rPr>
                <w:rFonts w:ascii="Georgia" w:hAnsi="Georgia"/>
                <w:bCs/>
                <w:sz w:val="20"/>
                <w:szCs w:val="20"/>
              </w:rPr>
            </w:pPr>
            <w:r>
              <w:rPr>
                <w:rFonts w:ascii="Georgia" w:hAnsi="Georgia"/>
                <w:bCs/>
                <w:sz w:val="20"/>
                <w:szCs w:val="20"/>
              </w:rPr>
              <w:t>All participants</w:t>
            </w:r>
          </w:p>
        </w:tc>
      </w:tr>
      <w:tr w:rsidR="00BD5D33" w:rsidRPr="0070529E" w:rsidTr="009810F2">
        <w:trPr>
          <w:trHeight w:val="268"/>
        </w:trPr>
        <w:tc>
          <w:tcPr>
            <w:tcW w:w="16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CA13CC" w:rsidP="0080778B">
            <w:pPr>
              <w:keepNext/>
              <w:keepLines/>
              <w:spacing w:after="0" w:line="240" w:lineRule="auto"/>
              <w:outlineLvl w:val="1"/>
              <w:rPr>
                <w:rFonts w:ascii="Georgia" w:hAnsi="Georgia"/>
                <w:bCs/>
                <w:sz w:val="20"/>
                <w:szCs w:val="20"/>
              </w:rPr>
            </w:pPr>
            <w:r>
              <w:rPr>
                <w:rFonts w:ascii="Georgia" w:hAnsi="Georgia"/>
                <w:bCs/>
                <w:sz w:val="20"/>
                <w:szCs w:val="20"/>
              </w:rPr>
              <w:t>8.40 – 8.45</w:t>
            </w:r>
          </w:p>
        </w:tc>
        <w:tc>
          <w:tcPr>
            <w:tcW w:w="47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CA13CC">
            <w:pPr>
              <w:keepNext/>
              <w:keepLines/>
              <w:spacing w:after="0" w:line="240" w:lineRule="auto"/>
              <w:outlineLvl w:val="1"/>
              <w:rPr>
                <w:rFonts w:ascii="Georgia" w:hAnsi="Georgia"/>
                <w:bCs/>
                <w:sz w:val="20"/>
                <w:szCs w:val="20"/>
              </w:rPr>
            </w:pPr>
            <w:r w:rsidRPr="0070529E">
              <w:rPr>
                <w:rFonts w:ascii="Georgia" w:hAnsi="Georgia"/>
                <w:bCs/>
                <w:sz w:val="20"/>
                <w:szCs w:val="20"/>
              </w:rPr>
              <w:t xml:space="preserve">Closing </w:t>
            </w:r>
            <w:r w:rsidR="00CA13CC">
              <w:rPr>
                <w:rFonts w:ascii="Georgia" w:hAnsi="Georgia"/>
                <w:bCs/>
                <w:sz w:val="20"/>
                <w:szCs w:val="20"/>
              </w:rPr>
              <w:t>remarks and next steps</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Eng. Kimanthi Kyengo, MEWNR</w:t>
            </w:r>
          </w:p>
        </w:tc>
      </w:tr>
      <w:tr w:rsidR="00BD5D33" w:rsidRPr="0070529E" w:rsidTr="009810F2">
        <w:trPr>
          <w:trHeight w:val="268"/>
        </w:trPr>
        <w:tc>
          <w:tcPr>
            <w:tcW w:w="1667" w:type="dxa"/>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 </w:t>
            </w:r>
          </w:p>
        </w:tc>
        <w:tc>
          <w:tcPr>
            <w:tcW w:w="4733" w:type="dxa"/>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 </w:t>
            </w:r>
          </w:p>
        </w:tc>
        <w:tc>
          <w:tcPr>
            <w:tcW w:w="3240" w:type="dxa"/>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5" w:type="dxa"/>
              <w:left w:w="100" w:type="dxa"/>
              <w:bottom w:w="0" w:type="dxa"/>
              <w:right w:w="100" w:type="dxa"/>
            </w:tcMar>
            <w:hideMark/>
          </w:tcPr>
          <w:p w:rsidR="00BD5D33" w:rsidRPr="0070529E" w:rsidRDefault="00BD5D33" w:rsidP="0080778B">
            <w:pPr>
              <w:keepNext/>
              <w:keepLines/>
              <w:spacing w:after="0" w:line="240" w:lineRule="auto"/>
              <w:outlineLvl w:val="1"/>
              <w:rPr>
                <w:rFonts w:ascii="Georgia" w:hAnsi="Georgia"/>
                <w:bCs/>
                <w:sz w:val="20"/>
                <w:szCs w:val="20"/>
              </w:rPr>
            </w:pPr>
            <w:r w:rsidRPr="0070529E">
              <w:rPr>
                <w:rFonts w:ascii="Georgia" w:hAnsi="Georgia"/>
                <w:bCs/>
                <w:sz w:val="20"/>
                <w:szCs w:val="20"/>
              </w:rPr>
              <w:t> </w:t>
            </w:r>
          </w:p>
        </w:tc>
      </w:tr>
    </w:tbl>
    <w:p w:rsidR="00850A6B" w:rsidRDefault="00850A6B" w:rsidP="008E34BE">
      <w:pPr>
        <w:keepNext/>
        <w:keepLines/>
        <w:spacing w:before="120" w:after="120" w:line="240" w:lineRule="atLeast"/>
        <w:outlineLvl w:val="1"/>
        <w:rPr>
          <w:rFonts w:ascii="Georgia" w:hAnsi="Georgia"/>
          <w:b/>
          <w:bCs/>
          <w:i/>
          <w:color w:val="DC6900"/>
          <w:sz w:val="20"/>
          <w:szCs w:val="20"/>
        </w:rPr>
      </w:pPr>
    </w:p>
    <w:p w:rsidR="00BD5D33" w:rsidRPr="009810F2" w:rsidRDefault="00BD5D33" w:rsidP="00361EF6">
      <w:pPr>
        <w:keepNext/>
        <w:keepLines/>
        <w:spacing w:before="120" w:after="120"/>
        <w:jc w:val="both"/>
        <w:outlineLvl w:val="1"/>
        <w:rPr>
          <w:rFonts w:ascii="Georgia" w:hAnsi="Georgia"/>
          <w:b/>
          <w:bCs/>
          <w:i/>
          <w:color w:val="00518E"/>
          <w:sz w:val="20"/>
          <w:szCs w:val="20"/>
          <w:u w:val="single"/>
        </w:rPr>
      </w:pPr>
      <w:r w:rsidRPr="009810F2">
        <w:rPr>
          <w:rFonts w:ascii="Georgia" w:hAnsi="Georgia"/>
          <w:b/>
          <w:bCs/>
          <w:i/>
          <w:color w:val="00518E"/>
          <w:sz w:val="20"/>
          <w:szCs w:val="20"/>
          <w:u w:val="single"/>
        </w:rPr>
        <w:t>Introduction</w:t>
      </w:r>
      <w:r w:rsidR="00510494">
        <w:rPr>
          <w:rFonts w:ascii="Georgia" w:hAnsi="Georgia"/>
          <w:b/>
          <w:bCs/>
          <w:i/>
          <w:color w:val="00518E"/>
          <w:sz w:val="20"/>
          <w:szCs w:val="20"/>
          <w:u w:val="single"/>
        </w:rPr>
        <w:t xml:space="preserve"> &amp; Presentations</w:t>
      </w:r>
    </w:p>
    <w:p w:rsidR="00BD5D33" w:rsidRPr="0070529E" w:rsidRDefault="00BD5D33" w:rsidP="00361EF6">
      <w:pPr>
        <w:spacing w:before="120" w:after="120"/>
        <w:jc w:val="both"/>
        <w:rPr>
          <w:rFonts w:ascii="Georgia" w:hAnsi="Georgia"/>
          <w:sz w:val="20"/>
          <w:szCs w:val="20"/>
        </w:rPr>
      </w:pPr>
      <w:r w:rsidRPr="0070529E">
        <w:rPr>
          <w:rFonts w:ascii="Georgia" w:hAnsi="Georgia"/>
          <w:sz w:val="20"/>
          <w:szCs w:val="20"/>
        </w:rPr>
        <w:t>The</w:t>
      </w:r>
      <w:r w:rsidR="006F3965">
        <w:rPr>
          <w:rFonts w:ascii="Georgia" w:hAnsi="Georgia"/>
          <w:sz w:val="20"/>
          <w:szCs w:val="20"/>
        </w:rPr>
        <w:t xml:space="preserve"> Roundtable</w:t>
      </w:r>
      <w:r w:rsidRPr="0070529E">
        <w:rPr>
          <w:rFonts w:ascii="Georgia" w:hAnsi="Georgia"/>
          <w:sz w:val="20"/>
          <w:szCs w:val="20"/>
        </w:rPr>
        <w:t xml:space="preserve"> </w:t>
      </w:r>
      <w:r w:rsidR="006F3965">
        <w:rPr>
          <w:rFonts w:ascii="Georgia" w:hAnsi="Georgia"/>
          <w:sz w:val="20"/>
          <w:szCs w:val="20"/>
        </w:rPr>
        <w:t>meeting</w:t>
      </w:r>
      <w:r w:rsidRPr="0070529E">
        <w:rPr>
          <w:rFonts w:ascii="Georgia" w:hAnsi="Georgia"/>
          <w:sz w:val="20"/>
          <w:szCs w:val="20"/>
        </w:rPr>
        <w:t xml:space="preserve"> was opened by Eng. Kimanthi Kyengo of the Ministry of Environment, Water and Natural Resources (MEWNR) who welcomed the participants and</w:t>
      </w:r>
      <w:r w:rsidR="0060238F">
        <w:rPr>
          <w:rFonts w:ascii="Georgia" w:hAnsi="Georgia"/>
          <w:sz w:val="20"/>
          <w:szCs w:val="20"/>
        </w:rPr>
        <w:t xml:space="preserve"> thanke</w:t>
      </w:r>
      <w:r w:rsidR="006F3965">
        <w:rPr>
          <w:rFonts w:ascii="Georgia" w:hAnsi="Georgia"/>
          <w:sz w:val="20"/>
          <w:szCs w:val="20"/>
        </w:rPr>
        <w:t>d all for joining</w:t>
      </w:r>
      <w:r w:rsidR="00EE79FE">
        <w:rPr>
          <w:rFonts w:ascii="Georgia" w:hAnsi="Georgia"/>
          <w:sz w:val="20"/>
          <w:szCs w:val="20"/>
        </w:rPr>
        <w:t xml:space="preserve"> this important discussion</w:t>
      </w:r>
      <w:r w:rsidR="0060238F">
        <w:rPr>
          <w:rFonts w:ascii="Georgia" w:hAnsi="Georgia"/>
          <w:sz w:val="20"/>
          <w:szCs w:val="20"/>
        </w:rPr>
        <w:t xml:space="preserve">. He further stressed </w:t>
      </w:r>
      <w:r w:rsidRPr="0070529E">
        <w:rPr>
          <w:rFonts w:ascii="Georgia" w:hAnsi="Georgia"/>
          <w:sz w:val="20"/>
          <w:szCs w:val="20"/>
        </w:rPr>
        <w:t xml:space="preserve">the government’s commitment to </w:t>
      </w:r>
      <w:r w:rsidR="0060238F">
        <w:rPr>
          <w:rFonts w:ascii="Georgia" w:hAnsi="Georgia"/>
          <w:sz w:val="20"/>
          <w:szCs w:val="20"/>
        </w:rPr>
        <w:t xml:space="preserve">engage with </w:t>
      </w:r>
      <w:r w:rsidR="00EE79FE">
        <w:rPr>
          <w:rFonts w:ascii="Georgia" w:hAnsi="Georgia"/>
          <w:sz w:val="20"/>
          <w:szCs w:val="20"/>
        </w:rPr>
        <w:t>a</w:t>
      </w:r>
      <w:r w:rsidR="0060238F">
        <w:rPr>
          <w:rFonts w:ascii="Georgia" w:hAnsi="Georgia"/>
          <w:sz w:val="20"/>
          <w:szCs w:val="20"/>
        </w:rPr>
        <w:t xml:space="preserve"> wide </w:t>
      </w:r>
      <w:r w:rsidR="00EE79FE">
        <w:rPr>
          <w:rFonts w:ascii="Georgia" w:hAnsi="Georgia"/>
          <w:sz w:val="20"/>
          <w:szCs w:val="20"/>
        </w:rPr>
        <w:t>range</w:t>
      </w:r>
      <w:r w:rsidR="0060238F">
        <w:rPr>
          <w:rFonts w:ascii="Georgia" w:hAnsi="Georgia"/>
          <w:sz w:val="20"/>
          <w:szCs w:val="20"/>
        </w:rPr>
        <w:t xml:space="preserve"> of stakeholders to support sustainable use of water resources through the</w:t>
      </w:r>
      <w:r w:rsidR="003C52B5">
        <w:rPr>
          <w:rFonts w:ascii="Georgia" w:hAnsi="Georgia"/>
          <w:sz w:val="20"/>
          <w:szCs w:val="20"/>
        </w:rPr>
        <w:t xml:space="preserve"> K</w:t>
      </w:r>
      <w:r w:rsidR="000D083C">
        <w:rPr>
          <w:rFonts w:ascii="Georgia" w:hAnsi="Georgia"/>
          <w:sz w:val="20"/>
          <w:szCs w:val="20"/>
        </w:rPr>
        <w:t xml:space="preserve">enya 2030 Water Resource Group (WRG) </w:t>
      </w:r>
      <w:r w:rsidRPr="0070529E">
        <w:rPr>
          <w:rFonts w:ascii="Georgia" w:hAnsi="Georgia"/>
          <w:sz w:val="20"/>
          <w:szCs w:val="20"/>
        </w:rPr>
        <w:t>partner</w:t>
      </w:r>
      <w:r w:rsidR="000D083C">
        <w:rPr>
          <w:rFonts w:ascii="Georgia" w:hAnsi="Georgia"/>
          <w:sz w:val="20"/>
          <w:szCs w:val="20"/>
        </w:rPr>
        <w:t>ship</w:t>
      </w:r>
      <w:r w:rsidRPr="0070529E">
        <w:rPr>
          <w:rFonts w:ascii="Georgia" w:hAnsi="Georgia"/>
          <w:sz w:val="20"/>
          <w:szCs w:val="20"/>
        </w:rPr>
        <w:t xml:space="preserve">. </w:t>
      </w:r>
      <w:r w:rsidR="00326232">
        <w:rPr>
          <w:rFonts w:ascii="Georgia" w:hAnsi="Georgia"/>
          <w:sz w:val="20"/>
          <w:szCs w:val="20"/>
        </w:rPr>
        <w:t>After outlining the expected outcomes of the meeting</w:t>
      </w:r>
      <w:r w:rsidR="00EE79FE">
        <w:rPr>
          <w:rFonts w:ascii="Georgia" w:hAnsi="Georgia"/>
          <w:sz w:val="20"/>
          <w:szCs w:val="20"/>
        </w:rPr>
        <w:t>,</w:t>
      </w:r>
      <w:r w:rsidR="00326232">
        <w:rPr>
          <w:rFonts w:ascii="Georgia" w:hAnsi="Georgia"/>
          <w:sz w:val="20"/>
          <w:szCs w:val="20"/>
        </w:rPr>
        <w:t xml:space="preserve"> he welcomed the participants to briefly present themselves. </w:t>
      </w:r>
    </w:p>
    <w:p w:rsidR="00664570" w:rsidRDefault="003C52B5" w:rsidP="008117A1">
      <w:pPr>
        <w:spacing w:before="120" w:after="360"/>
        <w:jc w:val="both"/>
        <w:rPr>
          <w:rFonts w:ascii="Georgia" w:hAnsi="Georgia"/>
          <w:sz w:val="20"/>
          <w:szCs w:val="20"/>
        </w:rPr>
      </w:pPr>
      <w:r>
        <w:rPr>
          <w:rFonts w:ascii="Georgia" w:hAnsi="Georgia"/>
          <w:sz w:val="20"/>
          <w:szCs w:val="20"/>
        </w:rPr>
        <w:t>Following</w:t>
      </w:r>
      <w:r w:rsidR="00BD5D33" w:rsidRPr="0070529E">
        <w:rPr>
          <w:rFonts w:ascii="Georgia" w:hAnsi="Georgia"/>
          <w:sz w:val="20"/>
          <w:szCs w:val="20"/>
        </w:rPr>
        <w:t xml:space="preserve"> </w:t>
      </w:r>
      <w:r w:rsidR="0060238F">
        <w:rPr>
          <w:rFonts w:ascii="Georgia" w:hAnsi="Georgia"/>
          <w:sz w:val="20"/>
          <w:szCs w:val="20"/>
        </w:rPr>
        <w:t>a quick</w:t>
      </w:r>
      <w:r w:rsidR="00BD5D33" w:rsidRPr="0070529E">
        <w:rPr>
          <w:rFonts w:ascii="Georgia" w:hAnsi="Georgia"/>
          <w:sz w:val="20"/>
          <w:szCs w:val="20"/>
        </w:rPr>
        <w:t xml:space="preserve"> </w:t>
      </w:r>
      <w:r w:rsidR="00B3038F">
        <w:rPr>
          <w:rFonts w:ascii="Georgia" w:hAnsi="Georgia"/>
          <w:sz w:val="20"/>
          <w:szCs w:val="20"/>
        </w:rPr>
        <w:t>round of introductions</w:t>
      </w:r>
      <w:r w:rsidR="00BD5D33" w:rsidRPr="0070529E">
        <w:rPr>
          <w:rFonts w:ascii="Georgia" w:hAnsi="Georgia"/>
          <w:sz w:val="20"/>
          <w:szCs w:val="20"/>
        </w:rPr>
        <w:t xml:space="preserve">, </w:t>
      </w:r>
      <w:r w:rsidR="00B3038F">
        <w:rPr>
          <w:rFonts w:ascii="Georgia" w:hAnsi="Georgia"/>
          <w:sz w:val="20"/>
          <w:szCs w:val="20"/>
        </w:rPr>
        <w:t>the 2030 WRG Secretariat made a presentation highlighting key findings of the hydro-economic analysis</w:t>
      </w:r>
      <w:r w:rsidR="00BD5D33" w:rsidRPr="0070529E">
        <w:rPr>
          <w:rFonts w:ascii="Georgia" w:hAnsi="Georgia"/>
          <w:sz w:val="20"/>
          <w:szCs w:val="20"/>
        </w:rPr>
        <w:t xml:space="preserve"> and </w:t>
      </w:r>
      <w:r w:rsidR="0060238F">
        <w:rPr>
          <w:rFonts w:ascii="Georgia" w:hAnsi="Georgia"/>
          <w:sz w:val="20"/>
          <w:szCs w:val="20"/>
        </w:rPr>
        <w:t>provided</w:t>
      </w:r>
      <w:r w:rsidR="00326232">
        <w:rPr>
          <w:rFonts w:ascii="Georgia" w:hAnsi="Georgia"/>
          <w:sz w:val="20"/>
          <w:szCs w:val="20"/>
        </w:rPr>
        <w:t xml:space="preserve"> the</w:t>
      </w:r>
      <w:r w:rsidR="0060238F">
        <w:rPr>
          <w:rFonts w:ascii="Georgia" w:hAnsi="Georgia"/>
          <w:sz w:val="20"/>
          <w:szCs w:val="20"/>
        </w:rPr>
        <w:t xml:space="preserve"> </w:t>
      </w:r>
      <w:r w:rsidR="00B3038F">
        <w:rPr>
          <w:rFonts w:ascii="Georgia" w:hAnsi="Georgia"/>
          <w:sz w:val="20"/>
          <w:szCs w:val="20"/>
        </w:rPr>
        <w:t>background to the Kenya Partnership</w:t>
      </w:r>
      <w:r w:rsidR="00BD5D33" w:rsidRPr="0070529E">
        <w:rPr>
          <w:rFonts w:ascii="Georgia" w:hAnsi="Georgia"/>
          <w:sz w:val="20"/>
          <w:szCs w:val="20"/>
        </w:rPr>
        <w:t xml:space="preserve">. This was followed by a </w:t>
      </w:r>
      <w:r w:rsidR="00B3038F">
        <w:rPr>
          <w:rFonts w:ascii="Georgia" w:hAnsi="Georgia"/>
          <w:sz w:val="20"/>
          <w:szCs w:val="20"/>
        </w:rPr>
        <w:t xml:space="preserve">presentation by </w:t>
      </w:r>
      <w:r w:rsidR="00217D74">
        <w:rPr>
          <w:rFonts w:ascii="Georgia" w:hAnsi="Georgia"/>
          <w:sz w:val="20"/>
          <w:szCs w:val="20"/>
        </w:rPr>
        <w:t>Eng. Kimanthi Kyengo outlining the proposed Partnership structure and priority focus areas</w:t>
      </w:r>
      <w:r w:rsidR="00BD5D33" w:rsidRPr="0070529E">
        <w:rPr>
          <w:rFonts w:ascii="Georgia" w:hAnsi="Georgia"/>
          <w:sz w:val="20"/>
          <w:szCs w:val="20"/>
        </w:rPr>
        <w:t xml:space="preserve">, before the </w:t>
      </w:r>
      <w:r w:rsidR="00217D74">
        <w:rPr>
          <w:rFonts w:ascii="Georgia" w:hAnsi="Georgia"/>
          <w:sz w:val="20"/>
          <w:szCs w:val="20"/>
        </w:rPr>
        <w:t>floor was opened for questions and discussions amongst the participants in a joint roundtable setting</w:t>
      </w:r>
      <w:r w:rsidR="00BD5D33" w:rsidRPr="0070529E">
        <w:rPr>
          <w:rFonts w:ascii="Georgia" w:hAnsi="Georgia"/>
          <w:sz w:val="20"/>
          <w:szCs w:val="20"/>
        </w:rPr>
        <w:t xml:space="preserve">. </w:t>
      </w:r>
      <w:r w:rsidR="00361EF6">
        <w:rPr>
          <w:rFonts w:ascii="Georgia" w:hAnsi="Georgia"/>
          <w:sz w:val="20"/>
          <w:szCs w:val="20"/>
        </w:rPr>
        <w:t xml:space="preserve"> </w:t>
      </w:r>
    </w:p>
    <w:p w:rsidR="005F4D9D" w:rsidRDefault="00C138A7" w:rsidP="00361EF6">
      <w:pPr>
        <w:keepNext/>
        <w:keepLines/>
        <w:spacing w:before="120" w:after="120"/>
        <w:jc w:val="both"/>
        <w:outlineLvl w:val="1"/>
        <w:rPr>
          <w:rFonts w:ascii="Georgia" w:hAnsi="Georgia"/>
          <w:b/>
          <w:bCs/>
          <w:i/>
          <w:color w:val="00518E"/>
          <w:sz w:val="20"/>
          <w:szCs w:val="20"/>
          <w:u w:val="single"/>
        </w:rPr>
      </w:pPr>
      <w:r>
        <w:rPr>
          <w:rFonts w:ascii="Georgia" w:hAnsi="Georgia"/>
          <w:b/>
          <w:bCs/>
          <w:i/>
          <w:color w:val="00518E"/>
          <w:sz w:val="20"/>
          <w:szCs w:val="20"/>
          <w:u w:val="single"/>
        </w:rPr>
        <w:lastRenderedPageBreak/>
        <w:t>Key issues raised in the Roundtable discussion</w:t>
      </w:r>
    </w:p>
    <w:p w:rsidR="00C138A7" w:rsidRDefault="00C138A7" w:rsidP="00C138A7">
      <w:pPr>
        <w:spacing w:before="120" w:after="120"/>
        <w:jc w:val="both"/>
        <w:rPr>
          <w:rFonts w:ascii="Georgia" w:hAnsi="Georgia"/>
          <w:sz w:val="20"/>
          <w:szCs w:val="20"/>
        </w:rPr>
      </w:pPr>
      <w:r w:rsidRPr="0070529E">
        <w:rPr>
          <w:rFonts w:ascii="Georgia" w:hAnsi="Georgia"/>
          <w:sz w:val="20"/>
          <w:szCs w:val="20"/>
        </w:rPr>
        <w:t>The</w:t>
      </w:r>
      <w:r>
        <w:rPr>
          <w:rFonts w:ascii="Georgia" w:hAnsi="Georgia"/>
          <w:sz w:val="20"/>
          <w:szCs w:val="20"/>
        </w:rPr>
        <w:t xml:space="preserve"> initial presentations were followed by a combined Q&amp;A and joint discussion in the full group. Initially, a few questions on data and the </w:t>
      </w:r>
      <w:r w:rsidR="004D7E17">
        <w:rPr>
          <w:rFonts w:ascii="Georgia" w:hAnsi="Georgia"/>
          <w:sz w:val="20"/>
          <w:szCs w:val="20"/>
        </w:rPr>
        <w:t xml:space="preserve">stakeholder </w:t>
      </w:r>
      <w:r>
        <w:rPr>
          <w:rFonts w:ascii="Georgia" w:hAnsi="Georgia"/>
          <w:sz w:val="20"/>
          <w:szCs w:val="20"/>
        </w:rPr>
        <w:t xml:space="preserve">input used </w:t>
      </w:r>
      <w:r w:rsidR="004D7E17">
        <w:rPr>
          <w:rFonts w:ascii="Georgia" w:hAnsi="Georgia"/>
          <w:sz w:val="20"/>
          <w:szCs w:val="20"/>
        </w:rPr>
        <w:t>in</w:t>
      </w:r>
      <w:r>
        <w:rPr>
          <w:rFonts w:ascii="Georgia" w:hAnsi="Georgia"/>
          <w:sz w:val="20"/>
          <w:szCs w:val="20"/>
        </w:rPr>
        <w:t xml:space="preserve"> the initial PWC analysis was raised and</w:t>
      </w:r>
      <w:r w:rsidR="004D7E17">
        <w:rPr>
          <w:rFonts w:ascii="Georgia" w:hAnsi="Georgia"/>
          <w:sz w:val="20"/>
          <w:szCs w:val="20"/>
        </w:rPr>
        <w:t xml:space="preserve"> it was clarified that</w:t>
      </w:r>
      <w:r>
        <w:rPr>
          <w:rFonts w:ascii="Georgia" w:hAnsi="Georgia"/>
          <w:sz w:val="20"/>
          <w:szCs w:val="20"/>
        </w:rPr>
        <w:t xml:space="preserve"> the hydro-economic analysis builds on recent data from the National Water Master Plan. It was further emphasized that the three identified focus areas are derived from the analysis and</w:t>
      </w:r>
      <w:r w:rsidR="004D7E17">
        <w:rPr>
          <w:rFonts w:ascii="Georgia" w:hAnsi="Georgia"/>
          <w:sz w:val="20"/>
          <w:szCs w:val="20"/>
        </w:rPr>
        <w:t xml:space="preserve"> has been further refined through </w:t>
      </w:r>
      <w:r>
        <w:rPr>
          <w:rFonts w:ascii="Georgia" w:hAnsi="Georgia"/>
          <w:sz w:val="20"/>
          <w:szCs w:val="20"/>
        </w:rPr>
        <w:t xml:space="preserve">consultations with </w:t>
      </w:r>
      <w:r w:rsidR="004D7E17">
        <w:rPr>
          <w:rFonts w:ascii="Georgia" w:hAnsi="Georgia"/>
          <w:sz w:val="20"/>
          <w:szCs w:val="20"/>
        </w:rPr>
        <w:t xml:space="preserve">key </w:t>
      </w:r>
      <w:r>
        <w:rPr>
          <w:rFonts w:ascii="Georgia" w:hAnsi="Georgia"/>
          <w:sz w:val="20"/>
          <w:szCs w:val="20"/>
        </w:rPr>
        <w:t xml:space="preserve">stakeholders and that this is fully aligned with what is coming out of the PWC work. </w:t>
      </w:r>
    </w:p>
    <w:p w:rsidR="0080040B" w:rsidRPr="00C138A7" w:rsidRDefault="0080040B" w:rsidP="00C138A7">
      <w:pPr>
        <w:spacing w:before="120" w:after="120"/>
        <w:jc w:val="both"/>
        <w:rPr>
          <w:rFonts w:ascii="Georgia" w:hAnsi="Georgia"/>
          <w:sz w:val="20"/>
          <w:szCs w:val="20"/>
        </w:rPr>
      </w:pPr>
    </w:p>
    <w:p w:rsidR="005F4D9D" w:rsidRPr="0070529E" w:rsidRDefault="004C6A55" w:rsidP="00361EF6">
      <w:pPr>
        <w:pStyle w:val="ListParagraph"/>
        <w:numPr>
          <w:ilvl w:val="0"/>
          <w:numId w:val="5"/>
        </w:numPr>
        <w:spacing w:before="120" w:after="120" w:line="276" w:lineRule="auto"/>
        <w:rPr>
          <w:rFonts w:ascii="Georgia" w:hAnsi="Georgia"/>
          <w:b/>
          <w:sz w:val="20"/>
          <w:szCs w:val="20"/>
        </w:rPr>
      </w:pPr>
      <w:r>
        <w:rPr>
          <w:rFonts w:ascii="Georgia" w:hAnsi="Georgia"/>
          <w:b/>
          <w:sz w:val="20"/>
          <w:szCs w:val="20"/>
        </w:rPr>
        <w:t xml:space="preserve">Partnership Structure and focus areas </w:t>
      </w:r>
    </w:p>
    <w:p w:rsidR="00790C8A" w:rsidRDefault="00FE4B7B" w:rsidP="00FE4B7B">
      <w:pPr>
        <w:spacing w:before="120" w:after="120"/>
        <w:jc w:val="both"/>
        <w:rPr>
          <w:rFonts w:ascii="Georgia" w:hAnsi="Georgia"/>
          <w:sz w:val="20"/>
          <w:szCs w:val="20"/>
        </w:rPr>
      </w:pPr>
      <w:r>
        <w:rPr>
          <w:rFonts w:ascii="Georgia" w:hAnsi="Georgia"/>
          <w:sz w:val="20"/>
          <w:szCs w:val="20"/>
        </w:rPr>
        <w:t xml:space="preserve">The main focus of the discussions evolved around the proposed Partnership structure and the focus areas identified for the Thematic Working Groups (TWGs). </w:t>
      </w:r>
    </w:p>
    <w:p w:rsidR="00FE4B7B" w:rsidRPr="00790C8A" w:rsidRDefault="00FE4B7B" w:rsidP="00790C8A">
      <w:pPr>
        <w:pStyle w:val="ListParagraph"/>
        <w:numPr>
          <w:ilvl w:val="0"/>
          <w:numId w:val="22"/>
        </w:numPr>
        <w:spacing w:before="120" w:after="120"/>
        <w:rPr>
          <w:rFonts w:ascii="Georgia" w:hAnsi="Georgia"/>
          <w:sz w:val="20"/>
          <w:szCs w:val="20"/>
        </w:rPr>
      </w:pPr>
      <w:r w:rsidRPr="00790C8A">
        <w:rPr>
          <w:rFonts w:ascii="Georgia" w:hAnsi="Georgia"/>
          <w:sz w:val="20"/>
          <w:szCs w:val="20"/>
        </w:rPr>
        <w:t>I</w:t>
      </w:r>
      <w:r w:rsidR="004C6A55" w:rsidRPr="00790C8A">
        <w:rPr>
          <w:rFonts w:ascii="Georgia" w:hAnsi="Georgia"/>
          <w:sz w:val="20"/>
          <w:szCs w:val="20"/>
        </w:rPr>
        <w:t xml:space="preserve">t was agreed </w:t>
      </w:r>
      <w:r w:rsidRPr="00790C8A">
        <w:rPr>
          <w:rFonts w:ascii="Georgia" w:hAnsi="Georgia"/>
          <w:sz w:val="20"/>
          <w:szCs w:val="20"/>
        </w:rPr>
        <w:t>that</w:t>
      </w:r>
      <w:r w:rsidR="004C6A55" w:rsidRPr="00790C8A">
        <w:rPr>
          <w:rFonts w:ascii="Georgia" w:hAnsi="Georgia"/>
          <w:sz w:val="20"/>
          <w:szCs w:val="20"/>
        </w:rPr>
        <w:t xml:space="preserve"> the WRG Secretariat </w:t>
      </w:r>
      <w:r w:rsidRPr="00790C8A">
        <w:rPr>
          <w:rFonts w:ascii="Georgia" w:hAnsi="Georgia"/>
          <w:sz w:val="20"/>
          <w:szCs w:val="20"/>
        </w:rPr>
        <w:t xml:space="preserve">is </w:t>
      </w:r>
      <w:r w:rsidR="005E3BE8" w:rsidRPr="00790C8A">
        <w:rPr>
          <w:rFonts w:ascii="Georgia" w:hAnsi="Georgia"/>
          <w:sz w:val="20"/>
          <w:szCs w:val="20"/>
        </w:rPr>
        <w:t xml:space="preserve">to convene the TWGs </w:t>
      </w:r>
      <w:r w:rsidR="004C6A55" w:rsidRPr="00790C8A">
        <w:rPr>
          <w:rFonts w:ascii="Georgia" w:hAnsi="Georgia"/>
          <w:sz w:val="20"/>
          <w:szCs w:val="20"/>
        </w:rPr>
        <w:t xml:space="preserve">around sectoral lines in the three focus areas of i) agricultural water use; ii) industrial water management and reuse; iii) urban water management. </w:t>
      </w:r>
      <w:r w:rsidR="00790C8A">
        <w:rPr>
          <w:rFonts w:ascii="Georgia" w:hAnsi="Georgia"/>
          <w:sz w:val="20"/>
          <w:szCs w:val="20"/>
        </w:rPr>
        <w:t xml:space="preserve">The </w:t>
      </w:r>
      <w:r w:rsidRPr="00790C8A">
        <w:rPr>
          <w:rFonts w:ascii="Georgia" w:hAnsi="Georgia"/>
          <w:sz w:val="20"/>
          <w:szCs w:val="20"/>
        </w:rPr>
        <w:t xml:space="preserve">members of the TWGs will </w:t>
      </w:r>
      <w:r w:rsidR="00790C8A">
        <w:rPr>
          <w:rFonts w:ascii="Georgia" w:hAnsi="Georgia"/>
          <w:sz w:val="20"/>
          <w:szCs w:val="20"/>
        </w:rPr>
        <w:t xml:space="preserve">have the mandate </w:t>
      </w:r>
      <w:r w:rsidRPr="00790C8A">
        <w:rPr>
          <w:rFonts w:ascii="Georgia" w:hAnsi="Georgia"/>
          <w:sz w:val="20"/>
          <w:szCs w:val="20"/>
        </w:rPr>
        <w:t xml:space="preserve">to identify further concrete activities and priorities under the respective focus area. </w:t>
      </w:r>
    </w:p>
    <w:p w:rsidR="00790C8A" w:rsidRDefault="00FE4B7B" w:rsidP="00FE4B7B">
      <w:pPr>
        <w:spacing w:before="120" w:after="120"/>
        <w:jc w:val="both"/>
        <w:rPr>
          <w:rFonts w:ascii="Georgia" w:hAnsi="Georgia"/>
          <w:sz w:val="20"/>
          <w:szCs w:val="20"/>
        </w:rPr>
      </w:pPr>
      <w:r>
        <w:rPr>
          <w:rFonts w:ascii="Georgia" w:hAnsi="Georgia"/>
          <w:sz w:val="20"/>
          <w:szCs w:val="20"/>
        </w:rPr>
        <w:t xml:space="preserve">Questions raised focused on the identified focus areas, where e.g. Non-Revenue Water (NRW) was highlighted as one of the areas </w:t>
      </w:r>
      <w:r w:rsidR="005E3BE8">
        <w:rPr>
          <w:rFonts w:ascii="Georgia" w:hAnsi="Georgia"/>
          <w:sz w:val="20"/>
          <w:szCs w:val="20"/>
        </w:rPr>
        <w:t>where</w:t>
      </w:r>
      <w:r>
        <w:rPr>
          <w:rFonts w:ascii="Georgia" w:hAnsi="Georgia"/>
          <w:sz w:val="20"/>
          <w:szCs w:val="20"/>
        </w:rPr>
        <w:t xml:space="preserve"> the Partnership need to be strategic in terms of </w:t>
      </w:r>
      <w:r w:rsidR="005E3BE8">
        <w:rPr>
          <w:rFonts w:ascii="Georgia" w:hAnsi="Georgia"/>
          <w:sz w:val="20"/>
          <w:szCs w:val="20"/>
        </w:rPr>
        <w:t>ensuring that</w:t>
      </w:r>
      <w:r>
        <w:rPr>
          <w:rFonts w:ascii="Georgia" w:hAnsi="Georgia"/>
          <w:sz w:val="20"/>
          <w:szCs w:val="20"/>
        </w:rPr>
        <w:t xml:space="preserve"> </w:t>
      </w:r>
      <w:r w:rsidR="005E3BE8">
        <w:rPr>
          <w:rFonts w:ascii="Georgia" w:hAnsi="Georgia"/>
          <w:sz w:val="20"/>
          <w:szCs w:val="20"/>
        </w:rPr>
        <w:t>the TWGs are</w:t>
      </w:r>
      <w:r>
        <w:rPr>
          <w:rFonts w:ascii="Georgia" w:hAnsi="Georgia"/>
          <w:sz w:val="20"/>
          <w:szCs w:val="20"/>
        </w:rPr>
        <w:t xml:space="preserve"> set-up in a way that supports coordination with the multitude of existing initiatives in this area. A similar </w:t>
      </w:r>
      <w:r w:rsidR="00A01CD6">
        <w:rPr>
          <w:rFonts w:ascii="Georgia" w:hAnsi="Georgia"/>
          <w:sz w:val="20"/>
          <w:szCs w:val="20"/>
        </w:rPr>
        <w:t>point</w:t>
      </w:r>
      <w:r>
        <w:rPr>
          <w:rFonts w:ascii="Georgia" w:hAnsi="Georgia"/>
          <w:sz w:val="20"/>
          <w:szCs w:val="20"/>
        </w:rPr>
        <w:t xml:space="preserve"> was raised on the scope of work given that two of the TWGs on the outset seem to be urban-oriented through their focus on industrial water use and urban water which prompted a discussion on how to capture rural WRM issues and ways of engaging for instance in the ASALs. </w:t>
      </w:r>
    </w:p>
    <w:p w:rsidR="00FE4B7B" w:rsidRPr="00790C8A" w:rsidRDefault="00790C8A" w:rsidP="00790C8A">
      <w:pPr>
        <w:pStyle w:val="ListParagraph"/>
        <w:numPr>
          <w:ilvl w:val="0"/>
          <w:numId w:val="22"/>
        </w:numPr>
        <w:spacing w:before="120" w:after="120"/>
        <w:rPr>
          <w:rFonts w:ascii="Georgia" w:hAnsi="Georgia"/>
          <w:sz w:val="20"/>
          <w:szCs w:val="20"/>
        </w:rPr>
      </w:pPr>
      <w:r>
        <w:rPr>
          <w:rFonts w:ascii="Georgia" w:hAnsi="Georgia"/>
          <w:sz w:val="20"/>
          <w:szCs w:val="20"/>
        </w:rPr>
        <w:t xml:space="preserve">There was consensus that </w:t>
      </w:r>
      <w:r w:rsidR="00A01CD6" w:rsidRPr="00790C8A">
        <w:rPr>
          <w:rFonts w:ascii="Georgia" w:hAnsi="Georgia"/>
          <w:sz w:val="20"/>
          <w:szCs w:val="20"/>
        </w:rPr>
        <w:t>the TWG focusing on agricultural</w:t>
      </w:r>
      <w:r w:rsidR="00FE4B7B" w:rsidRPr="00790C8A">
        <w:rPr>
          <w:rFonts w:ascii="Georgia" w:hAnsi="Georgia"/>
          <w:sz w:val="20"/>
          <w:szCs w:val="20"/>
        </w:rPr>
        <w:t xml:space="preserve"> water </w:t>
      </w:r>
      <w:r w:rsidR="00A01CD6" w:rsidRPr="00790C8A">
        <w:rPr>
          <w:rFonts w:ascii="Georgia" w:hAnsi="Georgia"/>
          <w:sz w:val="20"/>
          <w:szCs w:val="20"/>
        </w:rPr>
        <w:t xml:space="preserve">use </w:t>
      </w:r>
      <w:r w:rsidR="00FE4B7B" w:rsidRPr="00790C8A">
        <w:rPr>
          <w:rFonts w:ascii="Georgia" w:hAnsi="Georgia"/>
          <w:sz w:val="20"/>
          <w:szCs w:val="20"/>
        </w:rPr>
        <w:t xml:space="preserve">will be given the mandate to identify key geographic focus areas but that the Partnership nevertheless needs to be proactive in corresponding to the needs of exploring water use efficiency issues in rural parts of Kenya. </w:t>
      </w:r>
      <w:r>
        <w:rPr>
          <w:rFonts w:ascii="Georgia" w:hAnsi="Georgia"/>
          <w:sz w:val="20"/>
          <w:szCs w:val="20"/>
        </w:rPr>
        <w:t>T</w:t>
      </w:r>
      <w:r w:rsidR="00FE4B7B" w:rsidRPr="00790C8A">
        <w:rPr>
          <w:rFonts w:ascii="Georgia" w:hAnsi="Georgia"/>
          <w:sz w:val="20"/>
          <w:szCs w:val="20"/>
        </w:rPr>
        <w:t xml:space="preserve">here is </w:t>
      </w:r>
      <w:r>
        <w:rPr>
          <w:rFonts w:ascii="Georgia" w:hAnsi="Georgia"/>
          <w:sz w:val="20"/>
          <w:szCs w:val="20"/>
        </w:rPr>
        <w:t xml:space="preserve">also a </w:t>
      </w:r>
      <w:r w:rsidR="00FE4B7B" w:rsidRPr="00790C8A">
        <w:rPr>
          <w:rFonts w:ascii="Georgia" w:hAnsi="Georgia"/>
          <w:sz w:val="20"/>
          <w:szCs w:val="20"/>
        </w:rPr>
        <w:t xml:space="preserve">need for </w:t>
      </w:r>
      <w:r w:rsidR="00A01CD6" w:rsidRPr="00790C8A">
        <w:rPr>
          <w:rFonts w:ascii="Georgia" w:hAnsi="Georgia"/>
          <w:sz w:val="20"/>
          <w:szCs w:val="20"/>
        </w:rPr>
        <w:t>the</w:t>
      </w:r>
      <w:r w:rsidR="00FE4B7B" w:rsidRPr="00790C8A">
        <w:rPr>
          <w:rFonts w:ascii="Georgia" w:hAnsi="Georgia"/>
          <w:sz w:val="20"/>
          <w:szCs w:val="20"/>
        </w:rPr>
        <w:t xml:space="preserve"> TWG to engage both larger scale private actors alongside smallholders particularly looking at issues linked to irrigation.</w:t>
      </w:r>
    </w:p>
    <w:p w:rsidR="00790C8A" w:rsidRDefault="00FE4B7B" w:rsidP="00FE4B7B">
      <w:pPr>
        <w:keepNext/>
        <w:keepLines/>
        <w:spacing w:before="120" w:after="120"/>
        <w:jc w:val="both"/>
        <w:outlineLvl w:val="1"/>
        <w:rPr>
          <w:rFonts w:ascii="Georgia" w:hAnsi="Georgia"/>
          <w:sz w:val="20"/>
          <w:szCs w:val="20"/>
        </w:rPr>
      </w:pPr>
      <w:r>
        <w:rPr>
          <w:rFonts w:ascii="Georgia" w:hAnsi="Georgia"/>
          <w:sz w:val="20"/>
          <w:szCs w:val="20"/>
        </w:rPr>
        <w:t>It was further agreed that the WRG Secretariat should continue reaching out to stakeholders that may be of relevance to eng</w:t>
      </w:r>
      <w:r w:rsidR="00790C8A">
        <w:rPr>
          <w:rFonts w:ascii="Georgia" w:hAnsi="Georgia"/>
          <w:sz w:val="20"/>
          <w:szCs w:val="20"/>
        </w:rPr>
        <w:t>age in the proposed three TWGs.</w:t>
      </w:r>
    </w:p>
    <w:p w:rsidR="00790C8A" w:rsidRDefault="00790C8A" w:rsidP="00790C8A">
      <w:pPr>
        <w:pStyle w:val="ListParagraph"/>
        <w:keepNext/>
        <w:keepLines/>
        <w:numPr>
          <w:ilvl w:val="0"/>
          <w:numId w:val="22"/>
        </w:numPr>
        <w:spacing w:before="120" w:after="120"/>
        <w:outlineLvl w:val="1"/>
        <w:rPr>
          <w:rFonts w:ascii="Georgia" w:hAnsi="Georgia"/>
          <w:sz w:val="20"/>
          <w:szCs w:val="20"/>
        </w:rPr>
      </w:pPr>
      <w:r>
        <w:rPr>
          <w:rFonts w:ascii="Georgia" w:hAnsi="Georgia"/>
          <w:sz w:val="20"/>
          <w:szCs w:val="20"/>
        </w:rPr>
        <w:t>More</w:t>
      </w:r>
      <w:r w:rsidR="00FE4B7B" w:rsidRPr="00790C8A">
        <w:rPr>
          <w:rFonts w:ascii="Georgia" w:hAnsi="Georgia"/>
          <w:sz w:val="20"/>
          <w:szCs w:val="20"/>
        </w:rPr>
        <w:t xml:space="preserve"> specifically, actors representing sugar, </w:t>
      </w:r>
      <w:r w:rsidR="0004351F" w:rsidRPr="00790C8A">
        <w:rPr>
          <w:rFonts w:ascii="Georgia" w:hAnsi="Georgia"/>
          <w:sz w:val="20"/>
          <w:szCs w:val="20"/>
        </w:rPr>
        <w:t>tea, coffee</w:t>
      </w:r>
      <w:r w:rsidR="00FE4B7B" w:rsidRPr="00790C8A">
        <w:rPr>
          <w:rFonts w:ascii="Georgia" w:hAnsi="Georgia"/>
          <w:sz w:val="20"/>
          <w:szCs w:val="20"/>
        </w:rPr>
        <w:t xml:space="preserve"> and horticulture w</w:t>
      </w:r>
      <w:r w:rsidR="003F6853" w:rsidRPr="00790C8A">
        <w:rPr>
          <w:rFonts w:ascii="Georgia" w:hAnsi="Georgia"/>
          <w:sz w:val="20"/>
          <w:szCs w:val="20"/>
        </w:rPr>
        <w:t>ere highlighted as key for the a</w:t>
      </w:r>
      <w:r w:rsidR="00FE4B7B" w:rsidRPr="00790C8A">
        <w:rPr>
          <w:rFonts w:ascii="Georgia" w:hAnsi="Georgia"/>
          <w:sz w:val="20"/>
          <w:szCs w:val="20"/>
        </w:rPr>
        <w:t xml:space="preserve">gri-focused TWG, whilst brewers, oil &amp; gas industry alongside the hospitality sector were suggested for </w:t>
      </w:r>
      <w:r w:rsidR="003F6853" w:rsidRPr="00790C8A">
        <w:rPr>
          <w:rFonts w:ascii="Georgia" w:hAnsi="Georgia"/>
          <w:sz w:val="20"/>
          <w:szCs w:val="20"/>
        </w:rPr>
        <w:t>membership in the TWG focusing on i</w:t>
      </w:r>
      <w:r w:rsidR="00FE4B7B" w:rsidRPr="00790C8A">
        <w:rPr>
          <w:rFonts w:ascii="Georgia" w:hAnsi="Georgia"/>
          <w:sz w:val="20"/>
          <w:szCs w:val="20"/>
        </w:rPr>
        <w:t xml:space="preserve">ndustrial water </w:t>
      </w:r>
      <w:r w:rsidR="00CB7DA2" w:rsidRPr="00790C8A">
        <w:rPr>
          <w:rFonts w:ascii="Georgia" w:hAnsi="Georgia"/>
          <w:sz w:val="20"/>
          <w:szCs w:val="20"/>
        </w:rPr>
        <w:t>management</w:t>
      </w:r>
      <w:r w:rsidR="00FE4B7B" w:rsidRPr="00790C8A">
        <w:rPr>
          <w:rFonts w:ascii="Georgia" w:hAnsi="Georgia"/>
          <w:sz w:val="20"/>
          <w:szCs w:val="20"/>
        </w:rPr>
        <w:t>. Accordingly, it was agreed that the WRG Secretariat</w:t>
      </w:r>
      <w:r w:rsidR="00CB7DA2" w:rsidRPr="00790C8A">
        <w:rPr>
          <w:rFonts w:ascii="Georgia" w:hAnsi="Georgia"/>
          <w:sz w:val="20"/>
          <w:szCs w:val="20"/>
        </w:rPr>
        <w:t xml:space="preserve"> should prioritize engaging in </w:t>
      </w:r>
      <w:r w:rsidR="00A87AEB" w:rsidRPr="00790C8A">
        <w:rPr>
          <w:rFonts w:ascii="Georgia" w:hAnsi="Georgia"/>
          <w:sz w:val="20"/>
          <w:szCs w:val="20"/>
        </w:rPr>
        <w:t>dialogue</w:t>
      </w:r>
      <w:r w:rsidR="00CB7DA2" w:rsidRPr="00790C8A">
        <w:rPr>
          <w:rFonts w:ascii="Georgia" w:hAnsi="Georgia"/>
          <w:sz w:val="20"/>
          <w:szCs w:val="20"/>
        </w:rPr>
        <w:t xml:space="preserve"> with </w:t>
      </w:r>
      <w:r w:rsidR="00FE4B7B" w:rsidRPr="00790C8A">
        <w:rPr>
          <w:rFonts w:ascii="Georgia" w:hAnsi="Georgia"/>
          <w:sz w:val="20"/>
          <w:szCs w:val="20"/>
        </w:rPr>
        <w:t xml:space="preserve">actors such as the EABL given their engagement also within the Nairobi Water Roundtable. </w:t>
      </w:r>
    </w:p>
    <w:p w:rsidR="004C6A55" w:rsidRDefault="00FE4B7B" w:rsidP="00790C8A">
      <w:pPr>
        <w:keepNext/>
        <w:keepLines/>
        <w:spacing w:before="120" w:after="120"/>
        <w:outlineLvl w:val="1"/>
        <w:rPr>
          <w:rFonts w:ascii="Georgia" w:hAnsi="Georgia"/>
          <w:sz w:val="20"/>
          <w:szCs w:val="20"/>
        </w:rPr>
      </w:pPr>
      <w:r w:rsidRPr="00790C8A">
        <w:rPr>
          <w:rFonts w:ascii="Georgia" w:hAnsi="Georgia"/>
          <w:sz w:val="20"/>
          <w:szCs w:val="20"/>
        </w:rPr>
        <w:t xml:space="preserve">The role of research was further acknowledged as crucial for all TWGs and </w:t>
      </w:r>
      <w:r w:rsidR="00CB7DA2" w:rsidRPr="00790C8A">
        <w:rPr>
          <w:rFonts w:ascii="Georgia" w:hAnsi="Georgia"/>
          <w:sz w:val="20"/>
          <w:szCs w:val="20"/>
        </w:rPr>
        <w:t>is</w:t>
      </w:r>
      <w:r w:rsidRPr="00790C8A">
        <w:rPr>
          <w:rFonts w:ascii="Georgia" w:hAnsi="Georgia"/>
          <w:sz w:val="20"/>
          <w:szCs w:val="20"/>
        </w:rPr>
        <w:t xml:space="preserve"> thus </w:t>
      </w:r>
      <w:r w:rsidR="00CB7DA2" w:rsidRPr="00790C8A">
        <w:rPr>
          <w:rFonts w:ascii="Georgia" w:hAnsi="Georgia"/>
          <w:sz w:val="20"/>
          <w:szCs w:val="20"/>
        </w:rPr>
        <w:t xml:space="preserve">to be </w:t>
      </w:r>
      <w:r w:rsidRPr="00790C8A">
        <w:rPr>
          <w:rFonts w:ascii="Georgia" w:hAnsi="Georgia"/>
          <w:sz w:val="20"/>
          <w:szCs w:val="20"/>
        </w:rPr>
        <w:t xml:space="preserve">seen as a cross-cutting priority where linkages with academic research will be further explored for instance with JKUAT. </w:t>
      </w:r>
    </w:p>
    <w:p w:rsidR="00790C8A" w:rsidRPr="004C6A55" w:rsidRDefault="00790C8A" w:rsidP="00790C8A">
      <w:pPr>
        <w:keepNext/>
        <w:keepLines/>
        <w:spacing w:before="120" w:after="120"/>
        <w:outlineLvl w:val="1"/>
        <w:rPr>
          <w:rFonts w:ascii="Georgia" w:hAnsi="Georgia"/>
          <w:sz w:val="20"/>
          <w:szCs w:val="20"/>
        </w:rPr>
      </w:pPr>
    </w:p>
    <w:p w:rsidR="005F4D9D" w:rsidRPr="0070529E" w:rsidRDefault="004C6A55" w:rsidP="00361EF6">
      <w:pPr>
        <w:pStyle w:val="ListParagraph"/>
        <w:numPr>
          <w:ilvl w:val="0"/>
          <w:numId w:val="5"/>
        </w:numPr>
        <w:spacing w:before="120" w:after="120" w:line="276" w:lineRule="auto"/>
        <w:rPr>
          <w:rFonts w:ascii="Georgia" w:hAnsi="Georgia"/>
          <w:b/>
          <w:sz w:val="20"/>
          <w:szCs w:val="20"/>
        </w:rPr>
      </w:pPr>
      <w:r w:rsidRPr="004C6A55">
        <w:rPr>
          <w:rFonts w:ascii="Georgia" w:hAnsi="Georgia"/>
          <w:b/>
          <w:sz w:val="20"/>
          <w:szCs w:val="20"/>
        </w:rPr>
        <w:t>Selection of Steering Board members</w:t>
      </w:r>
    </w:p>
    <w:p w:rsidR="00790C8A" w:rsidRDefault="008117A1" w:rsidP="008117A1">
      <w:pPr>
        <w:spacing w:before="120" w:after="120"/>
        <w:jc w:val="both"/>
        <w:rPr>
          <w:rFonts w:ascii="Georgia" w:hAnsi="Georgia"/>
          <w:sz w:val="20"/>
          <w:szCs w:val="20"/>
        </w:rPr>
      </w:pPr>
      <w:r>
        <w:rPr>
          <w:rFonts w:ascii="Georgia" w:hAnsi="Georgia"/>
          <w:sz w:val="20"/>
          <w:szCs w:val="20"/>
        </w:rPr>
        <w:t>As for the proposed St</w:t>
      </w:r>
      <w:r w:rsidR="00790C8A">
        <w:rPr>
          <w:rFonts w:ascii="Georgia" w:hAnsi="Georgia"/>
          <w:sz w:val="20"/>
          <w:szCs w:val="20"/>
        </w:rPr>
        <w:t>eering Board, the following was agreed;</w:t>
      </w:r>
    </w:p>
    <w:p w:rsidR="00790C8A" w:rsidRDefault="00790C8A" w:rsidP="00790C8A">
      <w:pPr>
        <w:pStyle w:val="ListParagraph"/>
        <w:numPr>
          <w:ilvl w:val="0"/>
          <w:numId w:val="22"/>
        </w:numPr>
        <w:spacing w:before="120" w:after="120"/>
        <w:rPr>
          <w:rFonts w:ascii="Georgia" w:hAnsi="Georgia"/>
          <w:sz w:val="20"/>
          <w:szCs w:val="20"/>
        </w:rPr>
      </w:pPr>
      <w:r>
        <w:rPr>
          <w:rFonts w:ascii="Georgia" w:hAnsi="Georgia"/>
          <w:sz w:val="20"/>
          <w:szCs w:val="20"/>
        </w:rPr>
        <w:t>T</w:t>
      </w:r>
      <w:r w:rsidR="008117A1" w:rsidRPr="00790C8A">
        <w:rPr>
          <w:rFonts w:ascii="Georgia" w:hAnsi="Georgia"/>
          <w:sz w:val="20"/>
          <w:szCs w:val="20"/>
        </w:rPr>
        <w:t>he number of members</w:t>
      </w:r>
      <w:r>
        <w:rPr>
          <w:rFonts w:ascii="Georgia" w:hAnsi="Georgia"/>
          <w:sz w:val="20"/>
          <w:szCs w:val="20"/>
        </w:rPr>
        <w:t xml:space="preserve"> will be limited to a maximum of 12.</w:t>
      </w:r>
    </w:p>
    <w:p w:rsidR="00790C8A" w:rsidRDefault="00790C8A" w:rsidP="00790C8A">
      <w:pPr>
        <w:pStyle w:val="ListParagraph"/>
        <w:numPr>
          <w:ilvl w:val="0"/>
          <w:numId w:val="22"/>
        </w:numPr>
        <w:spacing w:before="120" w:after="120"/>
        <w:rPr>
          <w:rFonts w:ascii="Georgia" w:hAnsi="Georgia"/>
          <w:sz w:val="20"/>
          <w:szCs w:val="20"/>
        </w:rPr>
      </w:pPr>
      <w:r>
        <w:rPr>
          <w:rFonts w:ascii="Georgia" w:hAnsi="Georgia"/>
          <w:sz w:val="20"/>
          <w:szCs w:val="20"/>
        </w:rPr>
        <w:t>T</w:t>
      </w:r>
      <w:r w:rsidR="008117A1" w:rsidRPr="00790C8A">
        <w:rPr>
          <w:rFonts w:ascii="Georgia" w:hAnsi="Georgia"/>
          <w:sz w:val="20"/>
          <w:szCs w:val="20"/>
        </w:rPr>
        <w:t xml:space="preserve">he Government is responsible for ensuring appropriate high-level </w:t>
      </w:r>
      <w:r>
        <w:rPr>
          <w:rFonts w:ascii="Georgia" w:hAnsi="Georgia"/>
          <w:sz w:val="20"/>
          <w:szCs w:val="20"/>
        </w:rPr>
        <w:t xml:space="preserve">representation from their side and it would be </w:t>
      </w:r>
      <w:r w:rsidR="008117A1" w:rsidRPr="00790C8A">
        <w:rPr>
          <w:rFonts w:ascii="Georgia" w:hAnsi="Georgia"/>
          <w:sz w:val="20"/>
          <w:szCs w:val="20"/>
        </w:rPr>
        <w:t>suitable to invite a representative from the Council of Governors to ensure better coordination between national and county</w:t>
      </w:r>
      <w:r w:rsidR="005214D0" w:rsidRPr="00790C8A">
        <w:rPr>
          <w:rFonts w:ascii="Georgia" w:hAnsi="Georgia"/>
          <w:sz w:val="20"/>
          <w:szCs w:val="20"/>
        </w:rPr>
        <w:t>-led</w:t>
      </w:r>
      <w:r>
        <w:rPr>
          <w:rFonts w:ascii="Georgia" w:hAnsi="Georgia"/>
          <w:sz w:val="20"/>
          <w:szCs w:val="20"/>
        </w:rPr>
        <w:t xml:space="preserve"> initiatives. </w:t>
      </w:r>
    </w:p>
    <w:p w:rsidR="00790C8A" w:rsidRDefault="00790C8A" w:rsidP="00790C8A">
      <w:pPr>
        <w:pStyle w:val="ListParagraph"/>
        <w:numPr>
          <w:ilvl w:val="0"/>
          <w:numId w:val="22"/>
        </w:numPr>
        <w:spacing w:before="120" w:after="120"/>
        <w:rPr>
          <w:rFonts w:ascii="Georgia" w:hAnsi="Georgia"/>
          <w:sz w:val="20"/>
          <w:szCs w:val="20"/>
        </w:rPr>
      </w:pPr>
      <w:r>
        <w:rPr>
          <w:rFonts w:ascii="Georgia" w:hAnsi="Georgia"/>
          <w:sz w:val="20"/>
          <w:szCs w:val="20"/>
        </w:rPr>
        <w:t>S</w:t>
      </w:r>
      <w:r w:rsidR="008117A1" w:rsidRPr="00790C8A">
        <w:rPr>
          <w:rFonts w:ascii="Georgia" w:hAnsi="Georgia"/>
          <w:sz w:val="20"/>
          <w:szCs w:val="20"/>
        </w:rPr>
        <w:t xml:space="preserve">eparate meetings with the private sector and civil society </w:t>
      </w:r>
      <w:r>
        <w:rPr>
          <w:rFonts w:ascii="Georgia" w:hAnsi="Georgia"/>
          <w:sz w:val="20"/>
          <w:szCs w:val="20"/>
        </w:rPr>
        <w:t xml:space="preserve">will be convened </w:t>
      </w:r>
      <w:r w:rsidR="008117A1" w:rsidRPr="00790C8A">
        <w:rPr>
          <w:rFonts w:ascii="Georgia" w:hAnsi="Georgia"/>
          <w:sz w:val="20"/>
          <w:szCs w:val="20"/>
        </w:rPr>
        <w:t xml:space="preserve">to allow them to nominate </w:t>
      </w:r>
      <w:r w:rsidR="005214D0" w:rsidRPr="00790C8A">
        <w:rPr>
          <w:rFonts w:ascii="Georgia" w:hAnsi="Georgia"/>
          <w:sz w:val="20"/>
          <w:szCs w:val="20"/>
        </w:rPr>
        <w:t>appropriate</w:t>
      </w:r>
      <w:r w:rsidR="008117A1" w:rsidRPr="00790C8A">
        <w:rPr>
          <w:rFonts w:ascii="Georgia" w:hAnsi="Georgia"/>
          <w:sz w:val="20"/>
          <w:szCs w:val="20"/>
        </w:rPr>
        <w:t xml:space="preserve"> chair</w:t>
      </w:r>
      <w:r w:rsidR="005214D0" w:rsidRPr="00790C8A">
        <w:rPr>
          <w:rFonts w:ascii="Georgia" w:hAnsi="Georgia"/>
          <w:sz w:val="20"/>
          <w:szCs w:val="20"/>
        </w:rPr>
        <w:t>s</w:t>
      </w:r>
      <w:r w:rsidR="008117A1" w:rsidRPr="00790C8A">
        <w:rPr>
          <w:rFonts w:ascii="Georgia" w:hAnsi="Georgia"/>
          <w:sz w:val="20"/>
          <w:szCs w:val="20"/>
        </w:rPr>
        <w:t xml:space="preserve"> for the TWG</w:t>
      </w:r>
      <w:r w:rsidR="005214D0" w:rsidRPr="00790C8A">
        <w:rPr>
          <w:rFonts w:ascii="Georgia" w:hAnsi="Georgia"/>
          <w:sz w:val="20"/>
          <w:szCs w:val="20"/>
        </w:rPr>
        <w:t>s</w:t>
      </w:r>
      <w:r w:rsidR="008117A1" w:rsidRPr="00790C8A">
        <w:rPr>
          <w:rFonts w:ascii="Georgia" w:hAnsi="Georgia"/>
          <w:sz w:val="20"/>
          <w:szCs w:val="20"/>
        </w:rPr>
        <w:t xml:space="preserve"> (who subsequently will be represented at the Steering Boa</w:t>
      </w:r>
      <w:r>
        <w:rPr>
          <w:rFonts w:ascii="Georgia" w:hAnsi="Georgia"/>
          <w:sz w:val="20"/>
          <w:szCs w:val="20"/>
        </w:rPr>
        <w:t>rd)</w:t>
      </w:r>
      <w:r w:rsidR="005214D0" w:rsidRPr="00790C8A">
        <w:rPr>
          <w:rFonts w:ascii="Georgia" w:hAnsi="Georgia"/>
          <w:sz w:val="20"/>
          <w:szCs w:val="20"/>
        </w:rPr>
        <w:t xml:space="preserve">. </w:t>
      </w:r>
    </w:p>
    <w:p w:rsidR="00790C8A" w:rsidRPr="00790C8A" w:rsidRDefault="00790C8A" w:rsidP="00790C8A">
      <w:pPr>
        <w:pStyle w:val="ListParagraph"/>
        <w:numPr>
          <w:ilvl w:val="0"/>
          <w:numId w:val="22"/>
        </w:numPr>
        <w:spacing w:before="120" w:after="120"/>
        <w:rPr>
          <w:rFonts w:ascii="Georgia" w:hAnsi="Georgia"/>
          <w:sz w:val="20"/>
          <w:szCs w:val="20"/>
        </w:rPr>
      </w:pPr>
      <w:r w:rsidRPr="00790C8A">
        <w:rPr>
          <w:rFonts w:ascii="Georgia" w:hAnsi="Georgia"/>
          <w:sz w:val="20"/>
          <w:szCs w:val="20"/>
        </w:rPr>
        <w:t>Development Partners should be invited to nominate a representative (through the WSTG).</w:t>
      </w:r>
    </w:p>
    <w:p w:rsidR="00361EF6" w:rsidRPr="00790C8A" w:rsidRDefault="005214D0" w:rsidP="00790C8A">
      <w:pPr>
        <w:spacing w:before="120" w:after="120"/>
        <w:rPr>
          <w:rFonts w:ascii="Georgia" w:hAnsi="Georgia"/>
          <w:sz w:val="20"/>
          <w:szCs w:val="20"/>
        </w:rPr>
      </w:pPr>
      <w:r w:rsidRPr="00790C8A">
        <w:rPr>
          <w:rFonts w:ascii="Georgia" w:hAnsi="Georgia"/>
          <w:sz w:val="20"/>
          <w:szCs w:val="20"/>
        </w:rPr>
        <w:lastRenderedPageBreak/>
        <w:t>T</w:t>
      </w:r>
      <w:r w:rsidR="008117A1" w:rsidRPr="00790C8A">
        <w:rPr>
          <w:rFonts w:ascii="Georgia" w:hAnsi="Georgia"/>
          <w:sz w:val="20"/>
          <w:szCs w:val="20"/>
        </w:rPr>
        <w:t>he importance of ensuring that other sectors (beyond the water sector) are present at the Steering Board level</w:t>
      </w:r>
      <w:r w:rsidRPr="00790C8A">
        <w:rPr>
          <w:rFonts w:ascii="Georgia" w:hAnsi="Georgia"/>
          <w:sz w:val="20"/>
          <w:szCs w:val="20"/>
        </w:rPr>
        <w:t xml:space="preserve"> was stressed. Herein, the TWG focused on agricultural</w:t>
      </w:r>
      <w:r w:rsidR="008117A1" w:rsidRPr="00790C8A">
        <w:rPr>
          <w:rFonts w:ascii="Georgia" w:hAnsi="Georgia"/>
          <w:sz w:val="20"/>
          <w:szCs w:val="20"/>
        </w:rPr>
        <w:t xml:space="preserve"> water </w:t>
      </w:r>
      <w:r w:rsidRPr="00790C8A">
        <w:rPr>
          <w:rFonts w:ascii="Georgia" w:hAnsi="Georgia"/>
          <w:sz w:val="20"/>
          <w:szCs w:val="20"/>
        </w:rPr>
        <w:t xml:space="preserve">use </w:t>
      </w:r>
      <w:r w:rsidR="008117A1" w:rsidRPr="00790C8A">
        <w:rPr>
          <w:rFonts w:ascii="Georgia" w:hAnsi="Georgia"/>
          <w:sz w:val="20"/>
          <w:szCs w:val="20"/>
        </w:rPr>
        <w:t xml:space="preserve">will hopefully play an important </w:t>
      </w:r>
      <w:r w:rsidRPr="00790C8A">
        <w:rPr>
          <w:rFonts w:ascii="Georgia" w:hAnsi="Georgia"/>
          <w:sz w:val="20"/>
          <w:szCs w:val="20"/>
        </w:rPr>
        <w:t>role in enabling engagement of a</w:t>
      </w:r>
      <w:r w:rsidR="008117A1" w:rsidRPr="00790C8A">
        <w:rPr>
          <w:rFonts w:ascii="Georgia" w:hAnsi="Georgia"/>
          <w:sz w:val="20"/>
          <w:szCs w:val="20"/>
        </w:rPr>
        <w:t xml:space="preserve">gri-actors through the TWG Chair representative. </w:t>
      </w:r>
      <w:r w:rsidRPr="00790C8A">
        <w:rPr>
          <w:rFonts w:ascii="Georgia" w:hAnsi="Georgia"/>
          <w:sz w:val="20"/>
          <w:szCs w:val="20"/>
        </w:rPr>
        <w:t xml:space="preserve">Another reflection was </w:t>
      </w:r>
      <w:r w:rsidR="008117A1" w:rsidRPr="00790C8A">
        <w:rPr>
          <w:rFonts w:ascii="Georgia" w:hAnsi="Georgia"/>
          <w:sz w:val="20"/>
          <w:szCs w:val="20"/>
        </w:rPr>
        <w:t xml:space="preserve">that the representatives at Steering Board level </w:t>
      </w:r>
      <w:r w:rsidRPr="00790C8A">
        <w:rPr>
          <w:rFonts w:ascii="Georgia" w:hAnsi="Georgia"/>
          <w:sz w:val="20"/>
          <w:szCs w:val="20"/>
        </w:rPr>
        <w:t>are to</w:t>
      </w:r>
      <w:r w:rsidR="008117A1" w:rsidRPr="00790C8A">
        <w:rPr>
          <w:rFonts w:ascii="Georgia" w:hAnsi="Georgia"/>
          <w:sz w:val="20"/>
          <w:szCs w:val="20"/>
        </w:rPr>
        <w:t xml:space="preserve"> use their convening power e.g. where KEPSA can gather private sector actors through their membership base and voice their interests at the Steering Board </w:t>
      </w:r>
      <w:r w:rsidRPr="00790C8A">
        <w:rPr>
          <w:rFonts w:ascii="Georgia" w:hAnsi="Georgia"/>
          <w:sz w:val="20"/>
          <w:szCs w:val="20"/>
        </w:rPr>
        <w:t>whilst individual members</w:t>
      </w:r>
      <w:r w:rsidR="008117A1" w:rsidRPr="00790C8A">
        <w:rPr>
          <w:rFonts w:ascii="Georgia" w:hAnsi="Georgia"/>
          <w:sz w:val="20"/>
          <w:szCs w:val="20"/>
        </w:rPr>
        <w:t xml:space="preserve"> can still engage directly through the TWGs.</w:t>
      </w:r>
      <w:r w:rsidR="00790C8A">
        <w:rPr>
          <w:rFonts w:ascii="Georgia" w:hAnsi="Georgia"/>
          <w:sz w:val="20"/>
          <w:szCs w:val="20"/>
        </w:rPr>
        <w:t xml:space="preserve"> </w:t>
      </w:r>
      <w:r w:rsidR="008117A1" w:rsidRPr="00790C8A">
        <w:rPr>
          <w:rFonts w:ascii="Georgia" w:hAnsi="Georgia"/>
          <w:sz w:val="20"/>
          <w:szCs w:val="20"/>
        </w:rPr>
        <w:t xml:space="preserve"> </w:t>
      </w:r>
    </w:p>
    <w:p w:rsidR="008117A1" w:rsidRPr="0070529E" w:rsidRDefault="008117A1" w:rsidP="008117A1">
      <w:pPr>
        <w:spacing w:before="120" w:after="120"/>
        <w:jc w:val="both"/>
        <w:rPr>
          <w:rFonts w:ascii="Georgia" w:hAnsi="Georgia"/>
          <w:sz w:val="20"/>
          <w:szCs w:val="20"/>
        </w:rPr>
      </w:pPr>
    </w:p>
    <w:p w:rsidR="004C6A55" w:rsidRPr="004C6A55" w:rsidRDefault="004C6A55" w:rsidP="004C6A55">
      <w:pPr>
        <w:pStyle w:val="ListParagraph"/>
        <w:numPr>
          <w:ilvl w:val="0"/>
          <w:numId w:val="5"/>
        </w:numPr>
        <w:spacing w:before="120" w:after="120" w:line="276" w:lineRule="auto"/>
        <w:rPr>
          <w:rFonts w:ascii="Georgia" w:hAnsi="Georgia"/>
          <w:b/>
          <w:sz w:val="20"/>
          <w:szCs w:val="20"/>
        </w:rPr>
      </w:pPr>
      <w:r w:rsidRPr="004C6A55">
        <w:rPr>
          <w:rFonts w:ascii="Georgia" w:hAnsi="Georgia"/>
          <w:b/>
          <w:sz w:val="20"/>
          <w:szCs w:val="20"/>
        </w:rPr>
        <w:t xml:space="preserve">Opportunities to build on existing initiatives in Kenya </w:t>
      </w:r>
    </w:p>
    <w:p w:rsidR="008117A1" w:rsidRDefault="004C6A55" w:rsidP="008117A1">
      <w:pPr>
        <w:keepNext/>
        <w:keepLines/>
        <w:spacing w:before="120" w:after="120"/>
        <w:jc w:val="both"/>
        <w:outlineLvl w:val="1"/>
        <w:rPr>
          <w:rFonts w:ascii="Georgia" w:hAnsi="Georgia"/>
          <w:sz w:val="20"/>
          <w:szCs w:val="20"/>
        </w:rPr>
      </w:pPr>
      <w:r>
        <w:rPr>
          <w:rFonts w:ascii="Georgia" w:hAnsi="Georgia"/>
          <w:sz w:val="20"/>
          <w:szCs w:val="20"/>
        </w:rPr>
        <w:t>There was consensus that the TWG</w:t>
      </w:r>
      <w:r w:rsidR="00914BE2">
        <w:rPr>
          <w:rFonts w:ascii="Georgia" w:hAnsi="Georgia"/>
          <w:sz w:val="20"/>
          <w:szCs w:val="20"/>
        </w:rPr>
        <w:t>s</w:t>
      </w:r>
      <w:r>
        <w:rPr>
          <w:rFonts w:ascii="Georgia" w:hAnsi="Georgia"/>
          <w:sz w:val="20"/>
          <w:szCs w:val="20"/>
        </w:rPr>
        <w:t xml:space="preserve"> will be </w:t>
      </w:r>
      <w:r w:rsidR="00914BE2">
        <w:rPr>
          <w:rFonts w:ascii="Georgia" w:hAnsi="Georgia"/>
          <w:sz w:val="20"/>
          <w:szCs w:val="20"/>
        </w:rPr>
        <w:t>fundamental</w:t>
      </w:r>
      <w:r>
        <w:rPr>
          <w:rFonts w:ascii="Georgia" w:hAnsi="Georgia"/>
          <w:sz w:val="20"/>
          <w:szCs w:val="20"/>
        </w:rPr>
        <w:t xml:space="preserve"> in enabling synergies with existing initiatives at local and catchment level </w:t>
      </w:r>
      <w:r w:rsidR="00AF6240">
        <w:rPr>
          <w:rFonts w:ascii="Georgia" w:hAnsi="Georgia"/>
          <w:sz w:val="20"/>
          <w:szCs w:val="20"/>
        </w:rPr>
        <w:t xml:space="preserve">e.g. Imarisha Naivasha </w:t>
      </w:r>
      <w:r>
        <w:rPr>
          <w:rFonts w:ascii="Georgia" w:hAnsi="Georgia"/>
          <w:sz w:val="20"/>
          <w:szCs w:val="20"/>
        </w:rPr>
        <w:t>whereas the Partnership could offer a national platform for sharing of information and best practices.</w:t>
      </w:r>
      <w:r w:rsidR="008117A1">
        <w:rPr>
          <w:rFonts w:ascii="Georgia" w:hAnsi="Georgia"/>
          <w:sz w:val="20"/>
          <w:szCs w:val="20"/>
        </w:rPr>
        <w:t xml:space="preserve"> </w:t>
      </w:r>
      <w:r w:rsidR="00D444B0">
        <w:rPr>
          <w:rFonts w:ascii="Georgia" w:hAnsi="Georgia"/>
          <w:sz w:val="20"/>
          <w:szCs w:val="20"/>
        </w:rPr>
        <w:t xml:space="preserve">Given the limited time for discussing more in-depth issues of how to enable these linkages in practice, it was agreed that this would be part of the agenda of the first TWG meetings. </w:t>
      </w:r>
      <w:r w:rsidR="008117A1">
        <w:rPr>
          <w:rFonts w:ascii="Georgia" w:hAnsi="Georgia"/>
          <w:sz w:val="20"/>
          <w:szCs w:val="20"/>
        </w:rPr>
        <w:t>The issue of how to define the scope of the Partnership and ways of linking it to other existing initiatives also within areas of service provision, WASH etc. was discussed enthusiastically. It was agreed that the Partnership’s core mandate lie with addressing Water Resource Management and that there is no clear added value of engaging heavily in say WASH at this point in time given that there is a multitude of other better placed initiatives in this space. However, mutual information-sharing through its’ membership is welcomed and in a forward-looking perspective there is no formal objection to formulating specific sub-working groups on issues such as WASH should there be a clear interest from the TWG members (as per the South Africa example). Still, there</w:t>
      </w:r>
      <w:r w:rsidR="00D444B0">
        <w:rPr>
          <w:rFonts w:ascii="Georgia" w:hAnsi="Georgia"/>
          <w:sz w:val="20"/>
          <w:szCs w:val="20"/>
        </w:rPr>
        <w:t xml:space="preserve"> was agreement that there’s</w:t>
      </w:r>
      <w:r w:rsidR="008117A1">
        <w:rPr>
          <w:rFonts w:ascii="Georgia" w:hAnsi="Georgia"/>
          <w:sz w:val="20"/>
          <w:szCs w:val="20"/>
        </w:rPr>
        <w:t xml:space="preserve"> ample opportunity to strengthen the link between water resource management and water services given that WSTF provides a financial vehicle addressing both</w:t>
      </w:r>
      <w:r w:rsidR="00D444B0">
        <w:rPr>
          <w:rFonts w:ascii="Georgia" w:hAnsi="Georgia"/>
          <w:sz w:val="20"/>
          <w:szCs w:val="20"/>
        </w:rPr>
        <w:t xml:space="preserve"> dimensions</w:t>
      </w:r>
      <w:r w:rsidR="008117A1">
        <w:rPr>
          <w:rFonts w:ascii="Georgia" w:hAnsi="Georgia"/>
          <w:sz w:val="20"/>
          <w:szCs w:val="20"/>
        </w:rPr>
        <w:t xml:space="preserve">. Herein, it was agreed that WSTF as part of the government commitment to the Partnership will be a key bridge to financing which allows more joint efforts and synergies with programs and potential initiatives stemming from the </w:t>
      </w:r>
      <w:r w:rsidR="00D444B0">
        <w:rPr>
          <w:rFonts w:ascii="Georgia" w:hAnsi="Georgia"/>
          <w:sz w:val="20"/>
          <w:szCs w:val="20"/>
        </w:rPr>
        <w:t>future work of</w:t>
      </w:r>
      <w:r w:rsidR="008117A1">
        <w:rPr>
          <w:rFonts w:ascii="Georgia" w:hAnsi="Georgia"/>
          <w:sz w:val="20"/>
          <w:szCs w:val="20"/>
        </w:rPr>
        <w:t xml:space="preserve"> the TWGs. </w:t>
      </w:r>
    </w:p>
    <w:p w:rsidR="009810F2" w:rsidRPr="004C6A55" w:rsidRDefault="009810F2" w:rsidP="004C6A55">
      <w:pPr>
        <w:spacing w:before="120" w:after="120"/>
        <w:rPr>
          <w:rFonts w:ascii="Georgia" w:hAnsi="Georgia"/>
          <w:sz w:val="20"/>
          <w:szCs w:val="20"/>
        </w:rPr>
      </w:pPr>
    </w:p>
    <w:p w:rsidR="00212D13" w:rsidRPr="009810F2" w:rsidRDefault="00212D13" w:rsidP="00361EF6">
      <w:pPr>
        <w:keepNext/>
        <w:keepLines/>
        <w:spacing w:before="120" w:after="120"/>
        <w:jc w:val="both"/>
        <w:outlineLvl w:val="1"/>
        <w:rPr>
          <w:rFonts w:ascii="Georgia" w:hAnsi="Georgia"/>
          <w:b/>
          <w:bCs/>
          <w:i/>
          <w:color w:val="00518E"/>
          <w:sz w:val="20"/>
          <w:szCs w:val="20"/>
          <w:u w:val="single"/>
        </w:rPr>
      </w:pPr>
      <w:r w:rsidRPr="009810F2">
        <w:rPr>
          <w:rFonts w:ascii="Georgia" w:hAnsi="Georgia"/>
          <w:b/>
          <w:bCs/>
          <w:i/>
          <w:color w:val="00518E"/>
          <w:sz w:val="20"/>
          <w:szCs w:val="20"/>
          <w:u w:val="single"/>
        </w:rPr>
        <w:t>Conclusion</w:t>
      </w:r>
      <w:r w:rsidR="00510494">
        <w:rPr>
          <w:rFonts w:ascii="Georgia" w:hAnsi="Georgia"/>
          <w:b/>
          <w:bCs/>
          <w:i/>
          <w:color w:val="00518E"/>
          <w:sz w:val="20"/>
          <w:szCs w:val="20"/>
          <w:u w:val="single"/>
        </w:rPr>
        <w:t xml:space="preserve"> &amp; Next steps</w:t>
      </w:r>
    </w:p>
    <w:p w:rsidR="00212D13" w:rsidRPr="0070529E" w:rsidRDefault="00AF0661" w:rsidP="00361EF6">
      <w:pPr>
        <w:spacing w:before="120" w:after="120"/>
        <w:jc w:val="both"/>
        <w:rPr>
          <w:rFonts w:ascii="Georgia" w:hAnsi="Georgia"/>
          <w:sz w:val="20"/>
          <w:szCs w:val="20"/>
        </w:rPr>
      </w:pPr>
      <w:r>
        <w:rPr>
          <w:rFonts w:ascii="Georgia" w:hAnsi="Georgia"/>
          <w:sz w:val="20"/>
          <w:szCs w:val="20"/>
        </w:rPr>
        <w:t xml:space="preserve">Overall, </w:t>
      </w:r>
      <w:r w:rsidR="00664570">
        <w:rPr>
          <w:rFonts w:ascii="Georgia" w:hAnsi="Georgia"/>
          <w:sz w:val="20"/>
          <w:szCs w:val="20"/>
        </w:rPr>
        <w:t xml:space="preserve">the discussions held at the Roundtable meeting </w:t>
      </w:r>
      <w:r w:rsidR="00C1380D">
        <w:rPr>
          <w:rFonts w:ascii="Georgia" w:hAnsi="Georgia"/>
          <w:sz w:val="20"/>
          <w:szCs w:val="20"/>
        </w:rPr>
        <w:t>were</w:t>
      </w:r>
      <w:r w:rsidR="00664570">
        <w:rPr>
          <w:rFonts w:ascii="Georgia" w:hAnsi="Georgia"/>
          <w:sz w:val="20"/>
          <w:szCs w:val="20"/>
        </w:rPr>
        <w:t xml:space="preserve"> positive and valuable input was provided</w:t>
      </w:r>
      <w:r w:rsidR="00C1380D">
        <w:rPr>
          <w:rFonts w:ascii="Georgia" w:hAnsi="Georgia"/>
          <w:sz w:val="20"/>
          <w:szCs w:val="20"/>
        </w:rPr>
        <w:t xml:space="preserve"> by the participants</w:t>
      </w:r>
      <w:r w:rsidR="00664570">
        <w:rPr>
          <w:rFonts w:ascii="Georgia" w:hAnsi="Georgia"/>
          <w:sz w:val="20"/>
          <w:szCs w:val="20"/>
        </w:rPr>
        <w:t xml:space="preserve"> </w:t>
      </w:r>
      <w:r w:rsidR="000A3E13">
        <w:rPr>
          <w:rFonts w:ascii="Georgia" w:hAnsi="Georgia"/>
          <w:sz w:val="20"/>
          <w:szCs w:val="20"/>
        </w:rPr>
        <w:t>which will</w:t>
      </w:r>
      <w:r w:rsidR="00664570">
        <w:rPr>
          <w:rFonts w:ascii="Georgia" w:hAnsi="Georgia"/>
          <w:sz w:val="20"/>
          <w:szCs w:val="20"/>
        </w:rPr>
        <w:t xml:space="preserve"> guide further development of the Partnership. I</w:t>
      </w:r>
      <w:r>
        <w:rPr>
          <w:rFonts w:ascii="Georgia" w:hAnsi="Georgia"/>
          <w:sz w:val="20"/>
          <w:szCs w:val="20"/>
        </w:rPr>
        <w:t xml:space="preserve">t was agreed that the key expected outcomes for the meeting was fulfilled. All participants were updated on progress made and the proposed partnership structure was endorsed following an engaging discussion on the structure of the Thematic Working Groups, nomination of steering board members and ways to strengthen linkages with ongoing water resource initiatives. </w:t>
      </w:r>
      <w:r w:rsidR="00212D13" w:rsidRPr="0070529E">
        <w:rPr>
          <w:rFonts w:ascii="Georgia" w:hAnsi="Georgia"/>
          <w:sz w:val="20"/>
          <w:szCs w:val="20"/>
        </w:rPr>
        <w:t xml:space="preserve">Following </w:t>
      </w:r>
      <w:r>
        <w:rPr>
          <w:rFonts w:ascii="Georgia" w:hAnsi="Georgia"/>
          <w:sz w:val="20"/>
          <w:szCs w:val="20"/>
        </w:rPr>
        <w:t>the discussions, the following next steps were agreed:</w:t>
      </w:r>
      <w:r w:rsidR="00212D13" w:rsidRPr="0070529E">
        <w:rPr>
          <w:rFonts w:ascii="Georgia" w:hAnsi="Georgia"/>
          <w:sz w:val="20"/>
          <w:szCs w:val="20"/>
        </w:rPr>
        <w:t xml:space="preserve"> </w:t>
      </w:r>
    </w:p>
    <w:p w:rsidR="00212D13" w:rsidRPr="0070529E" w:rsidRDefault="00212D13" w:rsidP="00361EF6">
      <w:pPr>
        <w:pStyle w:val="ListParagraph"/>
        <w:numPr>
          <w:ilvl w:val="0"/>
          <w:numId w:val="16"/>
        </w:numPr>
        <w:spacing w:before="120" w:after="120" w:line="276" w:lineRule="auto"/>
        <w:rPr>
          <w:rFonts w:ascii="Georgia" w:hAnsi="Georgia"/>
          <w:sz w:val="20"/>
          <w:szCs w:val="20"/>
        </w:rPr>
      </w:pPr>
      <w:r w:rsidRPr="0070529E">
        <w:rPr>
          <w:rFonts w:ascii="Georgia" w:hAnsi="Georgia"/>
          <w:sz w:val="20"/>
          <w:szCs w:val="20"/>
        </w:rPr>
        <w:t>Notes from the discussions will be circulated among the participants</w:t>
      </w:r>
      <w:r w:rsidR="00AF0661">
        <w:rPr>
          <w:rFonts w:ascii="Georgia" w:hAnsi="Georgia"/>
          <w:sz w:val="20"/>
          <w:szCs w:val="20"/>
        </w:rPr>
        <w:t xml:space="preserve"> alongside the presentations</w:t>
      </w:r>
      <w:r w:rsidR="00A00987">
        <w:rPr>
          <w:rFonts w:ascii="Georgia" w:hAnsi="Georgia"/>
          <w:sz w:val="20"/>
          <w:szCs w:val="20"/>
        </w:rPr>
        <w:t xml:space="preserve"> within the coming week</w:t>
      </w:r>
      <w:r w:rsidRPr="0070529E">
        <w:rPr>
          <w:rFonts w:ascii="Georgia" w:hAnsi="Georgia"/>
          <w:sz w:val="20"/>
          <w:szCs w:val="20"/>
        </w:rPr>
        <w:t>;</w:t>
      </w:r>
    </w:p>
    <w:p w:rsidR="006E7882" w:rsidRDefault="005437AF" w:rsidP="00361EF6">
      <w:pPr>
        <w:pStyle w:val="ListParagraph"/>
        <w:numPr>
          <w:ilvl w:val="0"/>
          <w:numId w:val="16"/>
        </w:numPr>
        <w:spacing w:before="120" w:after="120" w:line="276" w:lineRule="auto"/>
        <w:rPr>
          <w:rFonts w:ascii="Georgia" w:hAnsi="Georgia"/>
          <w:sz w:val="20"/>
          <w:szCs w:val="20"/>
        </w:rPr>
      </w:pPr>
      <w:r>
        <w:rPr>
          <w:rFonts w:ascii="Georgia" w:hAnsi="Georgia"/>
          <w:sz w:val="20"/>
          <w:szCs w:val="20"/>
        </w:rPr>
        <w:t xml:space="preserve">The </w:t>
      </w:r>
      <w:r w:rsidR="00AF0661">
        <w:rPr>
          <w:rFonts w:ascii="Georgia" w:hAnsi="Georgia"/>
          <w:sz w:val="20"/>
          <w:szCs w:val="20"/>
        </w:rPr>
        <w:t xml:space="preserve">2030 WRG Secretariat will proceed by </w:t>
      </w:r>
      <w:r w:rsidR="006E7882">
        <w:rPr>
          <w:rFonts w:ascii="Georgia" w:hAnsi="Georgia"/>
          <w:sz w:val="20"/>
          <w:szCs w:val="20"/>
        </w:rPr>
        <w:t>identifying key membership and clarifying the scope for TWGs</w:t>
      </w:r>
      <w:r w:rsidR="00A00987">
        <w:rPr>
          <w:rFonts w:ascii="Georgia" w:hAnsi="Georgia"/>
          <w:sz w:val="20"/>
          <w:szCs w:val="20"/>
        </w:rPr>
        <w:t xml:space="preserve"> to </w:t>
      </w:r>
      <w:r w:rsidR="006E7882">
        <w:rPr>
          <w:rFonts w:ascii="Georgia" w:hAnsi="Georgia"/>
          <w:sz w:val="20"/>
          <w:szCs w:val="20"/>
        </w:rPr>
        <w:t>then subsequently convene an initial round of meetings within said TWGs</w:t>
      </w:r>
      <w:r w:rsidR="00A00987">
        <w:rPr>
          <w:rFonts w:ascii="Georgia" w:hAnsi="Georgia"/>
          <w:sz w:val="20"/>
          <w:szCs w:val="20"/>
        </w:rPr>
        <w:t xml:space="preserve"> within 3 months’ time</w:t>
      </w:r>
      <w:r w:rsidR="006E7882">
        <w:rPr>
          <w:rFonts w:ascii="Georgia" w:hAnsi="Georgia"/>
          <w:sz w:val="20"/>
          <w:szCs w:val="20"/>
        </w:rPr>
        <w:t>;</w:t>
      </w:r>
    </w:p>
    <w:p w:rsidR="00212D13" w:rsidRPr="0070529E" w:rsidRDefault="006E7882" w:rsidP="00361EF6">
      <w:pPr>
        <w:pStyle w:val="ListParagraph"/>
        <w:numPr>
          <w:ilvl w:val="0"/>
          <w:numId w:val="16"/>
        </w:numPr>
        <w:spacing w:before="120" w:after="120" w:line="276" w:lineRule="auto"/>
        <w:rPr>
          <w:rFonts w:ascii="Georgia" w:hAnsi="Georgia"/>
          <w:sz w:val="20"/>
          <w:szCs w:val="20"/>
        </w:rPr>
      </w:pPr>
      <w:r>
        <w:rPr>
          <w:rFonts w:ascii="Georgia" w:hAnsi="Georgia"/>
          <w:sz w:val="20"/>
          <w:szCs w:val="20"/>
        </w:rPr>
        <w:t>Following the initial round of TWG meetings and nomination of a co-chair representing the private sector, a first Steering Board meeting will be held by mid-2015</w:t>
      </w:r>
      <w:r w:rsidR="00212D13" w:rsidRPr="0070529E">
        <w:rPr>
          <w:rFonts w:ascii="Georgia" w:hAnsi="Georgia"/>
          <w:sz w:val="20"/>
          <w:szCs w:val="20"/>
        </w:rPr>
        <w:t>;</w:t>
      </w:r>
    </w:p>
    <w:p w:rsidR="00212D13" w:rsidRPr="0070529E" w:rsidRDefault="006E7882" w:rsidP="00361EF6">
      <w:pPr>
        <w:pStyle w:val="ListParagraph"/>
        <w:numPr>
          <w:ilvl w:val="0"/>
          <w:numId w:val="16"/>
        </w:numPr>
        <w:spacing w:before="120" w:after="120" w:line="276" w:lineRule="auto"/>
        <w:rPr>
          <w:rFonts w:ascii="Georgia" w:hAnsi="Georgia"/>
          <w:sz w:val="20"/>
          <w:szCs w:val="20"/>
        </w:rPr>
      </w:pPr>
      <w:r>
        <w:rPr>
          <w:rFonts w:ascii="Georgia" w:hAnsi="Georgia"/>
          <w:sz w:val="20"/>
          <w:szCs w:val="20"/>
        </w:rPr>
        <w:t xml:space="preserve">The preliminary hydro-economic analysis will be finalized and circulated to a wider audience in connection with a </w:t>
      </w:r>
      <w:r w:rsidR="000A3E13">
        <w:rPr>
          <w:rFonts w:ascii="Georgia" w:hAnsi="Georgia"/>
          <w:sz w:val="20"/>
          <w:szCs w:val="20"/>
        </w:rPr>
        <w:t xml:space="preserve">planned </w:t>
      </w:r>
      <w:r>
        <w:rPr>
          <w:rFonts w:ascii="Georgia" w:hAnsi="Georgia"/>
          <w:sz w:val="20"/>
          <w:szCs w:val="20"/>
        </w:rPr>
        <w:t>larger outreach event (TBC)</w:t>
      </w:r>
      <w:r w:rsidR="005437AF">
        <w:rPr>
          <w:rFonts w:ascii="Georgia" w:hAnsi="Georgia"/>
          <w:sz w:val="20"/>
          <w:szCs w:val="20"/>
        </w:rPr>
        <w:t>.</w:t>
      </w:r>
    </w:p>
    <w:p w:rsidR="009810F2" w:rsidRPr="0070529E" w:rsidRDefault="00E75B6B" w:rsidP="00B3038F">
      <w:pPr>
        <w:spacing w:before="120" w:after="120"/>
        <w:jc w:val="both"/>
        <w:rPr>
          <w:rFonts w:ascii="Georgia" w:hAnsi="Georgia"/>
          <w:sz w:val="20"/>
          <w:szCs w:val="20"/>
        </w:rPr>
        <w:sectPr w:rsidR="009810F2" w:rsidRPr="0070529E" w:rsidSect="002926F2">
          <w:headerReference w:type="default" r:id="rId9"/>
          <w:footerReference w:type="even" r:id="rId10"/>
          <w:footerReference w:type="default" r:id="rId11"/>
          <w:headerReference w:type="first" r:id="rId12"/>
          <w:pgSz w:w="12240" w:h="15840"/>
          <w:pgMar w:top="1134" w:right="1325" w:bottom="1418" w:left="1440" w:header="708" w:footer="708" w:gutter="0"/>
          <w:cols w:space="708"/>
          <w:titlePg/>
          <w:docGrid w:linePitch="360"/>
        </w:sectPr>
      </w:pPr>
      <w:r>
        <w:rPr>
          <w:rFonts w:ascii="Georgia" w:hAnsi="Georgia"/>
          <w:sz w:val="20"/>
          <w:szCs w:val="20"/>
        </w:rPr>
        <w:t>After thanking all participants for valuable guidance on how to best move forward with the Partnership, the Roundtable meeting was closed following final</w:t>
      </w:r>
      <w:r w:rsidR="00212D13" w:rsidRPr="0070529E">
        <w:rPr>
          <w:rFonts w:ascii="Georgia" w:hAnsi="Georgia"/>
          <w:sz w:val="20"/>
          <w:szCs w:val="20"/>
        </w:rPr>
        <w:t xml:space="preserve"> remarks fro</w:t>
      </w:r>
      <w:r w:rsidR="00057249">
        <w:rPr>
          <w:rFonts w:ascii="Georgia" w:hAnsi="Georgia"/>
          <w:sz w:val="20"/>
          <w:szCs w:val="20"/>
        </w:rPr>
        <w:t>m Eng. Kimanthi Kyengo of MEWNR</w:t>
      </w:r>
      <w:r w:rsidR="0080040B">
        <w:rPr>
          <w:rFonts w:ascii="Georgia" w:hAnsi="Georgia"/>
          <w:sz w:val="20"/>
          <w:szCs w:val="20"/>
        </w:rPr>
        <w:t>.</w:t>
      </w:r>
    </w:p>
    <w:p w:rsidR="00212D13" w:rsidRPr="0070529E" w:rsidRDefault="00212D13" w:rsidP="00B3038F">
      <w:pPr>
        <w:keepNext/>
        <w:keepLines/>
        <w:spacing w:before="120" w:after="120" w:line="240" w:lineRule="atLeast"/>
        <w:outlineLvl w:val="1"/>
        <w:rPr>
          <w:rFonts w:ascii="Georgia" w:hAnsi="Georgia"/>
          <w:sz w:val="20"/>
          <w:szCs w:val="20"/>
        </w:rPr>
      </w:pPr>
    </w:p>
    <w:sectPr w:rsidR="00212D13" w:rsidRPr="007052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08F" w:rsidRDefault="00D6308F">
      <w:pPr>
        <w:spacing w:after="0" w:line="240" w:lineRule="auto"/>
      </w:pPr>
      <w:r>
        <w:separator/>
      </w:r>
    </w:p>
  </w:endnote>
  <w:endnote w:type="continuationSeparator" w:id="0">
    <w:p w:rsidR="00D6308F" w:rsidRDefault="00D6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46" w:rsidRDefault="00212D13" w:rsidP="00C753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3846" w:rsidRDefault="00344A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46" w:rsidRDefault="00212D13" w:rsidP="00C753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4AF3">
      <w:rPr>
        <w:rStyle w:val="PageNumber"/>
        <w:noProof/>
      </w:rPr>
      <w:t>4</w:t>
    </w:r>
    <w:r>
      <w:rPr>
        <w:rStyle w:val="PageNumber"/>
      </w:rPr>
      <w:fldChar w:fldCharType="end"/>
    </w:r>
  </w:p>
  <w:p w:rsidR="004A3846" w:rsidRDefault="00344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08F" w:rsidRDefault="00D6308F">
      <w:pPr>
        <w:spacing w:after="0" w:line="240" w:lineRule="auto"/>
      </w:pPr>
      <w:r>
        <w:separator/>
      </w:r>
    </w:p>
  </w:footnote>
  <w:footnote w:type="continuationSeparator" w:id="0">
    <w:p w:rsidR="00D6308F" w:rsidRDefault="00D63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F2" w:rsidRDefault="009810F2" w:rsidP="009810F2">
    <w:pPr>
      <w:pStyle w:val="Header"/>
    </w:pPr>
    <w:r>
      <w:rPr>
        <w:lang w:val="en-US"/>
      </w:rPr>
      <w:t xml:space="preserve">                                                                                                        </w:t>
    </w:r>
    <w:r w:rsidR="002926F2">
      <w:rPr>
        <w:lang w:val="en-US"/>
      </w:rPr>
      <w:t xml:space="preserve">  </w:t>
    </w:r>
    <w:r>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F2" w:rsidRDefault="002926F2">
    <w:pPr>
      <w:pStyle w:val="Header"/>
    </w:pPr>
    <w:r w:rsidRPr="009810F2">
      <w:rPr>
        <w:noProof/>
        <w:lang w:val="en-US"/>
      </w:rPr>
      <w:drawing>
        <wp:inline distT="0" distB="0" distL="0" distR="0" wp14:anchorId="60E326DA" wp14:editId="05566E16">
          <wp:extent cx="1045990" cy="1095375"/>
          <wp:effectExtent l="0" t="0" r="1905" b="0"/>
          <wp:docPr id="15" name="Picture 15"/>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
                  <a:srcRect/>
                  <a:stretch>
                    <a:fillRect/>
                  </a:stretch>
                </pic:blipFill>
                <pic:spPr bwMode="auto">
                  <a:xfrm>
                    <a:off x="0" y="0"/>
                    <a:ext cx="1048573" cy="1098080"/>
                  </a:xfrm>
                  <a:prstGeom prst="rect">
                    <a:avLst/>
                  </a:prstGeom>
                  <a:noFill/>
                  <a:ln w="9525">
                    <a:noFill/>
                    <a:miter lim="800000"/>
                    <a:headEnd/>
                    <a:tailEnd/>
                  </a:ln>
                </pic:spPr>
              </pic:pic>
            </a:graphicData>
          </a:graphic>
        </wp:inline>
      </w:drawing>
    </w:r>
    <w:r w:rsidR="00520903">
      <w:t xml:space="preserve">                                                                                                            </w:t>
    </w:r>
    <w:r w:rsidR="00520903" w:rsidRPr="009810F2">
      <w:rPr>
        <w:noProof/>
        <w:lang w:val="en-US"/>
      </w:rPr>
      <w:drawing>
        <wp:inline distT="0" distB="0" distL="0" distR="0" wp14:anchorId="5FCA0341" wp14:editId="63EBB678">
          <wp:extent cx="739826" cy="876300"/>
          <wp:effectExtent l="0" t="0" r="3175" b="0"/>
          <wp:docPr id="16"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9"/>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8334" cy="874533"/>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391A"/>
    <w:multiLevelType w:val="hybridMultilevel"/>
    <w:tmpl w:val="6C404DF4"/>
    <w:lvl w:ilvl="0" w:tplc="B36CA27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90600"/>
    <w:multiLevelType w:val="hybridMultilevel"/>
    <w:tmpl w:val="C056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33A44"/>
    <w:multiLevelType w:val="hybridMultilevel"/>
    <w:tmpl w:val="E84EA6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2EB44C7"/>
    <w:multiLevelType w:val="hybridMultilevel"/>
    <w:tmpl w:val="9C56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A2A16"/>
    <w:multiLevelType w:val="hybridMultilevel"/>
    <w:tmpl w:val="15C0D5D8"/>
    <w:lvl w:ilvl="0" w:tplc="282CA87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BAFE12CE">
      <w:numFmt w:val="bullet"/>
      <w:lvlText w:val="-"/>
      <w:lvlJc w:val="left"/>
      <w:pPr>
        <w:ind w:left="2880" w:hanging="360"/>
      </w:pPr>
      <w:rPr>
        <w:rFonts w:ascii="Arial" w:eastAsiaTheme="minorHAns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085BF8"/>
    <w:multiLevelType w:val="hybridMultilevel"/>
    <w:tmpl w:val="8D70940C"/>
    <w:lvl w:ilvl="0" w:tplc="21E00B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255D1"/>
    <w:multiLevelType w:val="hybridMultilevel"/>
    <w:tmpl w:val="48F43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D14F8E"/>
    <w:multiLevelType w:val="hybridMultilevel"/>
    <w:tmpl w:val="866672C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54E5B"/>
    <w:multiLevelType w:val="hybridMultilevel"/>
    <w:tmpl w:val="7A48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FC7E74"/>
    <w:multiLevelType w:val="hybridMultilevel"/>
    <w:tmpl w:val="DA5EC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41235"/>
    <w:multiLevelType w:val="hybridMultilevel"/>
    <w:tmpl w:val="47223C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B51743"/>
    <w:multiLevelType w:val="hybridMultilevel"/>
    <w:tmpl w:val="C2969F2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4885FCE"/>
    <w:multiLevelType w:val="hybridMultilevel"/>
    <w:tmpl w:val="44E0A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12393"/>
    <w:multiLevelType w:val="hybridMultilevel"/>
    <w:tmpl w:val="F32A453C"/>
    <w:lvl w:ilvl="0" w:tplc="C5D4DF0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E23EE2"/>
    <w:multiLevelType w:val="hybridMultilevel"/>
    <w:tmpl w:val="51D2362C"/>
    <w:lvl w:ilvl="0" w:tplc="C2085D2C">
      <w:start w:val="1"/>
      <w:numFmt w:val="bullet"/>
      <w:lvlText w:val=""/>
      <w:lvlJc w:val="left"/>
      <w:pPr>
        <w:tabs>
          <w:tab w:val="num" w:pos="720"/>
        </w:tabs>
        <w:ind w:left="720" w:hanging="360"/>
      </w:pPr>
      <w:rPr>
        <w:rFonts w:ascii="Wingdings" w:hAnsi="Wingdings" w:hint="default"/>
      </w:rPr>
    </w:lvl>
    <w:lvl w:ilvl="1" w:tplc="DF369BA2" w:tentative="1">
      <w:start w:val="1"/>
      <w:numFmt w:val="bullet"/>
      <w:lvlText w:val=""/>
      <w:lvlJc w:val="left"/>
      <w:pPr>
        <w:tabs>
          <w:tab w:val="num" w:pos="1440"/>
        </w:tabs>
        <w:ind w:left="1440" w:hanging="360"/>
      </w:pPr>
      <w:rPr>
        <w:rFonts w:ascii="Wingdings" w:hAnsi="Wingdings" w:hint="default"/>
      </w:rPr>
    </w:lvl>
    <w:lvl w:ilvl="2" w:tplc="1BA60240" w:tentative="1">
      <w:start w:val="1"/>
      <w:numFmt w:val="bullet"/>
      <w:lvlText w:val=""/>
      <w:lvlJc w:val="left"/>
      <w:pPr>
        <w:tabs>
          <w:tab w:val="num" w:pos="2160"/>
        </w:tabs>
        <w:ind w:left="2160" w:hanging="360"/>
      </w:pPr>
      <w:rPr>
        <w:rFonts w:ascii="Wingdings" w:hAnsi="Wingdings" w:hint="default"/>
      </w:rPr>
    </w:lvl>
    <w:lvl w:ilvl="3" w:tplc="A11A0E38" w:tentative="1">
      <w:start w:val="1"/>
      <w:numFmt w:val="bullet"/>
      <w:lvlText w:val=""/>
      <w:lvlJc w:val="left"/>
      <w:pPr>
        <w:tabs>
          <w:tab w:val="num" w:pos="2880"/>
        </w:tabs>
        <w:ind w:left="2880" w:hanging="360"/>
      </w:pPr>
      <w:rPr>
        <w:rFonts w:ascii="Wingdings" w:hAnsi="Wingdings" w:hint="default"/>
      </w:rPr>
    </w:lvl>
    <w:lvl w:ilvl="4" w:tplc="B6FA268A" w:tentative="1">
      <w:start w:val="1"/>
      <w:numFmt w:val="bullet"/>
      <w:lvlText w:val=""/>
      <w:lvlJc w:val="left"/>
      <w:pPr>
        <w:tabs>
          <w:tab w:val="num" w:pos="3600"/>
        </w:tabs>
        <w:ind w:left="3600" w:hanging="360"/>
      </w:pPr>
      <w:rPr>
        <w:rFonts w:ascii="Wingdings" w:hAnsi="Wingdings" w:hint="default"/>
      </w:rPr>
    </w:lvl>
    <w:lvl w:ilvl="5" w:tplc="C5026F60" w:tentative="1">
      <w:start w:val="1"/>
      <w:numFmt w:val="bullet"/>
      <w:lvlText w:val=""/>
      <w:lvlJc w:val="left"/>
      <w:pPr>
        <w:tabs>
          <w:tab w:val="num" w:pos="4320"/>
        </w:tabs>
        <w:ind w:left="4320" w:hanging="360"/>
      </w:pPr>
      <w:rPr>
        <w:rFonts w:ascii="Wingdings" w:hAnsi="Wingdings" w:hint="default"/>
      </w:rPr>
    </w:lvl>
    <w:lvl w:ilvl="6" w:tplc="5470ACF6" w:tentative="1">
      <w:start w:val="1"/>
      <w:numFmt w:val="bullet"/>
      <w:lvlText w:val=""/>
      <w:lvlJc w:val="left"/>
      <w:pPr>
        <w:tabs>
          <w:tab w:val="num" w:pos="5040"/>
        </w:tabs>
        <w:ind w:left="5040" w:hanging="360"/>
      </w:pPr>
      <w:rPr>
        <w:rFonts w:ascii="Wingdings" w:hAnsi="Wingdings" w:hint="default"/>
      </w:rPr>
    </w:lvl>
    <w:lvl w:ilvl="7" w:tplc="02FCCDD8" w:tentative="1">
      <w:start w:val="1"/>
      <w:numFmt w:val="bullet"/>
      <w:lvlText w:val=""/>
      <w:lvlJc w:val="left"/>
      <w:pPr>
        <w:tabs>
          <w:tab w:val="num" w:pos="5760"/>
        </w:tabs>
        <w:ind w:left="5760" w:hanging="360"/>
      </w:pPr>
      <w:rPr>
        <w:rFonts w:ascii="Wingdings" w:hAnsi="Wingdings" w:hint="default"/>
      </w:rPr>
    </w:lvl>
    <w:lvl w:ilvl="8" w:tplc="73BC7A20" w:tentative="1">
      <w:start w:val="1"/>
      <w:numFmt w:val="bullet"/>
      <w:lvlText w:val=""/>
      <w:lvlJc w:val="left"/>
      <w:pPr>
        <w:tabs>
          <w:tab w:val="num" w:pos="6480"/>
        </w:tabs>
        <w:ind w:left="6480" w:hanging="360"/>
      </w:pPr>
      <w:rPr>
        <w:rFonts w:ascii="Wingdings" w:hAnsi="Wingdings" w:hint="default"/>
      </w:rPr>
    </w:lvl>
  </w:abstractNum>
  <w:abstractNum w:abstractNumId="15">
    <w:nsid w:val="66A50D2E"/>
    <w:multiLevelType w:val="hybridMultilevel"/>
    <w:tmpl w:val="4C26B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90012A"/>
    <w:multiLevelType w:val="hybridMultilevel"/>
    <w:tmpl w:val="B4826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DC08A6"/>
    <w:multiLevelType w:val="hybridMultilevel"/>
    <w:tmpl w:val="F5E2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9F61D6"/>
    <w:multiLevelType w:val="hybridMultilevel"/>
    <w:tmpl w:val="35CC33B0"/>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9">
    <w:nsid w:val="77D56715"/>
    <w:multiLevelType w:val="multilevel"/>
    <w:tmpl w:val="DF02FE12"/>
    <w:lvl w:ilvl="0">
      <w:start w:val="7"/>
      <w:numFmt w:val="decimal"/>
      <w:lvlText w:val="%1"/>
      <w:lvlJc w:val="left"/>
      <w:pPr>
        <w:ind w:left="390" w:hanging="390"/>
      </w:pPr>
      <w:rPr>
        <w:rFonts w:hint="default"/>
      </w:rPr>
    </w:lvl>
    <w:lvl w:ilvl="1">
      <w:start w:val="30"/>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D7B1ACF"/>
    <w:multiLevelType w:val="hybridMultilevel"/>
    <w:tmpl w:val="67B4C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CA2E7A"/>
    <w:multiLevelType w:val="hybridMultilevel"/>
    <w:tmpl w:val="DEEEF3B6"/>
    <w:lvl w:ilvl="0" w:tplc="2466A11C">
      <w:start w:val="1"/>
      <w:numFmt w:val="decimal"/>
      <w:lvlText w:val="%1."/>
      <w:lvlJc w:val="left"/>
      <w:pPr>
        <w:tabs>
          <w:tab w:val="num" w:pos="360"/>
        </w:tabs>
        <w:ind w:left="360" w:hanging="360"/>
      </w:pPr>
    </w:lvl>
    <w:lvl w:ilvl="1" w:tplc="19CE5DFC">
      <w:start w:val="840"/>
      <w:numFmt w:val="bullet"/>
      <w:lvlText w:val="•"/>
      <w:lvlJc w:val="left"/>
      <w:pPr>
        <w:tabs>
          <w:tab w:val="num" w:pos="1080"/>
        </w:tabs>
        <w:ind w:left="1080" w:hanging="360"/>
      </w:pPr>
      <w:rPr>
        <w:rFonts w:ascii="Arial" w:hAnsi="Arial" w:hint="default"/>
      </w:rPr>
    </w:lvl>
    <w:lvl w:ilvl="2" w:tplc="1F1CFB10">
      <w:start w:val="1"/>
      <w:numFmt w:val="lowerLetter"/>
      <w:lvlText w:val="%3)"/>
      <w:lvlJc w:val="left"/>
      <w:pPr>
        <w:ind w:left="1800" w:hanging="360"/>
      </w:pPr>
      <w:rPr>
        <w:rFonts w:hint="default"/>
      </w:rPr>
    </w:lvl>
    <w:lvl w:ilvl="3" w:tplc="F59869B8" w:tentative="1">
      <w:start w:val="1"/>
      <w:numFmt w:val="decimal"/>
      <w:lvlText w:val="%4."/>
      <w:lvlJc w:val="left"/>
      <w:pPr>
        <w:tabs>
          <w:tab w:val="num" w:pos="2520"/>
        </w:tabs>
        <w:ind w:left="2520" w:hanging="360"/>
      </w:pPr>
    </w:lvl>
    <w:lvl w:ilvl="4" w:tplc="4AD091A2" w:tentative="1">
      <w:start w:val="1"/>
      <w:numFmt w:val="decimal"/>
      <w:lvlText w:val="%5."/>
      <w:lvlJc w:val="left"/>
      <w:pPr>
        <w:tabs>
          <w:tab w:val="num" w:pos="3240"/>
        </w:tabs>
        <w:ind w:left="3240" w:hanging="360"/>
      </w:pPr>
    </w:lvl>
    <w:lvl w:ilvl="5" w:tplc="8634FA1E" w:tentative="1">
      <w:start w:val="1"/>
      <w:numFmt w:val="decimal"/>
      <w:lvlText w:val="%6."/>
      <w:lvlJc w:val="left"/>
      <w:pPr>
        <w:tabs>
          <w:tab w:val="num" w:pos="3960"/>
        </w:tabs>
        <w:ind w:left="3960" w:hanging="360"/>
      </w:pPr>
    </w:lvl>
    <w:lvl w:ilvl="6" w:tplc="F01ACE26" w:tentative="1">
      <w:start w:val="1"/>
      <w:numFmt w:val="decimal"/>
      <w:lvlText w:val="%7."/>
      <w:lvlJc w:val="left"/>
      <w:pPr>
        <w:tabs>
          <w:tab w:val="num" w:pos="4680"/>
        </w:tabs>
        <w:ind w:left="4680" w:hanging="360"/>
      </w:pPr>
    </w:lvl>
    <w:lvl w:ilvl="7" w:tplc="396E96AC" w:tentative="1">
      <w:start w:val="1"/>
      <w:numFmt w:val="decimal"/>
      <w:lvlText w:val="%8."/>
      <w:lvlJc w:val="left"/>
      <w:pPr>
        <w:tabs>
          <w:tab w:val="num" w:pos="5400"/>
        </w:tabs>
        <w:ind w:left="5400" w:hanging="360"/>
      </w:pPr>
    </w:lvl>
    <w:lvl w:ilvl="8" w:tplc="F3C8C600" w:tentative="1">
      <w:start w:val="1"/>
      <w:numFmt w:val="decimal"/>
      <w:lvlText w:val="%9."/>
      <w:lvlJc w:val="left"/>
      <w:pPr>
        <w:tabs>
          <w:tab w:val="num" w:pos="6120"/>
        </w:tabs>
        <w:ind w:left="6120" w:hanging="360"/>
      </w:pPr>
    </w:lvl>
  </w:abstractNum>
  <w:num w:numId="1">
    <w:abstractNumId w:val="8"/>
  </w:num>
  <w:num w:numId="2">
    <w:abstractNumId w:val="16"/>
  </w:num>
  <w:num w:numId="3">
    <w:abstractNumId w:val="14"/>
  </w:num>
  <w:num w:numId="4">
    <w:abstractNumId w:val="21"/>
  </w:num>
  <w:num w:numId="5">
    <w:abstractNumId w:val="15"/>
  </w:num>
  <w:num w:numId="6">
    <w:abstractNumId w:val="12"/>
  </w:num>
  <w:num w:numId="7">
    <w:abstractNumId w:val="7"/>
  </w:num>
  <w:num w:numId="8">
    <w:abstractNumId w:val="6"/>
  </w:num>
  <w:num w:numId="9">
    <w:abstractNumId w:val="18"/>
  </w:num>
  <w:num w:numId="10">
    <w:abstractNumId w:val="2"/>
  </w:num>
  <w:num w:numId="11">
    <w:abstractNumId w:val="11"/>
  </w:num>
  <w:num w:numId="12">
    <w:abstractNumId w:val="13"/>
  </w:num>
  <w:num w:numId="13">
    <w:abstractNumId w:val="20"/>
  </w:num>
  <w:num w:numId="14">
    <w:abstractNumId w:val="17"/>
  </w:num>
  <w:num w:numId="15">
    <w:abstractNumId w:val="9"/>
  </w:num>
  <w:num w:numId="16">
    <w:abstractNumId w:val="3"/>
  </w:num>
  <w:num w:numId="17">
    <w:abstractNumId w:val="10"/>
  </w:num>
  <w:num w:numId="18">
    <w:abstractNumId w:val="1"/>
  </w:num>
  <w:num w:numId="19">
    <w:abstractNumId w:val="4"/>
  </w:num>
  <w:num w:numId="20">
    <w:abstractNumId w:val="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6B"/>
    <w:rsid w:val="0004351F"/>
    <w:rsid w:val="00057249"/>
    <w:rsid w:val="00066994"/>
    <w:rsid w:val="000A3E13"/>
    <w:rsid w:val="000B470F"/>
    <w:rsid w:val="000D083C"/>
    <w:rsid w:val="00150B09"/>
    <w:rsid w:val="001671AF"/>
    <w:rsid w:val="00212D13"/>
    <w:rsid w:val="00217D74"/>
    <w:rsid w:val="002926F2"/>
    <w:rsid w:val="00326232"/>
    <w:rsid w:val="00342A51"/>
    <w:rsid w:val="00344AF3"/>
    <w:rsid w:val="00350C48"/>
    <w:rsid w:val="00361EF6"/>
    <w:rsid w:val="00376C4C"/>
    <w:rsid w:val="003C52B5"/>
    <w:rsid w:val="003F6853"/>
    <w:rsid w:val="00402DCA"/>
    <w:rsid w:val="00404761"/>
    <w:rsid w:val="0045155D"/>
    <w:rsid w:val="004A388D"/>
    <w:rsid w:val="004C6A55"/>
    <w:rsid w:val="004D71AD"/>
    <w:rsid w:val="004D7E17"/>
    <w:rsid w:val="004F7C75"/>
    <w:rsid w:val="00510494"/>
    <w:rsid w:val="00520903"/>
    <w:rsid w:val="005214D0"/>
    <w:rsid w:val="005437AF"/>
    <w:rsid w:val="005E3BE8"/>
    <w:rsid w:val="005F4D9D"/>
    <w:rsid w:val="0060238F"/>
    <w:rsid w:val="00624334"/>
    <w:rsid w:val="00664570"/>
    <w:rsid w:val="0068564C"/>
    <w:rsid w:val="006E5B56"/>
    <w:rsid w:val="006E7882"/>
    <w:rsid w:val="006F3965"/>
    <w:rsid w:val="0070529E"/>
    <w:rsid w:val="00785373"/>
    <w:rsid w:val="00790C8A"/>
    <w:rsid w:val="007A76E2"/>
    <w:rsid w:val="007D4C52"/>
    <w:rsid w:val="0080040B"/>
    <w:rsid w:val="0080778B"/>
    <w:rsid w:val="008117A1"/>
    <w:rsid w:val="00850A6B"/>
    <w:rsid w:val="00872856"/>
    <w:rsid w:val="00895BD3"/>
    <w:rsid w:val="008E34BE"/>
    <w:rsid w:val="00914BE2"/>
    <w:rsid w:val="009810F2"/>
    <w:rsid w:val="009A1A3A"/>
    <w:rsid w:val="009E2E8E"/>
    <w:rsid w:val="00A00987"/>
    <w:rsid w:val="00A01CD6"/>
    <w:rsid w:val="00A1565A"/>
    <w:rsid w:val="00A5081A"/>
    <w:rsid w:val="00A83C3F"/>
    <w:rsid w:val="00A87AEB"/>
    <w:rsid w:val="00AF0661"/>
    <w:rsid w:val="00AF6240"/>
    <w:rsid w:val="00B06491"/>
    <w:rsid w:val="00B2136F"/>
    <w:rsid w:val="00B3038F"/>
    <w:rsid w:val="00B3634D"/>
    <w:rsid w:val="00B42174"/>
    <w:rsid w:val="00BD5D33"/>
    <w:rsid w:val="00C1380D"/>
    <w:rsid w:val="00C138A7"/>
    <w:rsid w:val="00CA13CC"/>
    <w:rsid w:val="00CB6B9D"/>
    <w:rsid w:val="00CB7DA2"/>
    <w:rsid w:val="00CF3696"/>
    <w:rsid w:val="00D2196B"/>
    <w:rsid w:val="00D444B0"/>
    <w:rsid w:val="00D5180A"/>
    <w:rsid w:val="00D57D21"/>
    <w:rsid w:val="00D6308F"/>
    <w:rsid w:val="00DA0335"/>
    <w:rsid w:val="00DC7F2F"/>
    <w:rsid w:val="00E60FE6"/>
    <w:rsid w:val="00E75B6B"/>
    <w:rsid w:val="00EE1145"/>
    <w:rsid w:val="00EE79FE"/>
    <w:rsid w:val="00F04268"/>
    <w:rsid w:val="00FE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2196B"/>
    <w:pPr>
      <w:spacing w:after="0" w:line="240" w:lineRule="auto"/>
      <w:ind w:left="720"/>
      <w:contextualSpacing/>
      <w:jc w:val="both"/>
    </w:pPr>
    <w:rPr>
      <w:rFonts w:ascii="Times New Roman" w:hAnsi="Times New Roman"/>
    </w:rPr>
  </w:style>
  <w:style w:type="character" w:styleId="Hyperlink">
    <w:name w:val="Hyperlink"/>
    <w:basedOn w:val="DefaultParagraphFont"/>
    <w:uiPriority w:val="99"/>
    <w:rsid w:val="00212D13"/>
    <w:rPr>
      <w:color w:val="0000FF"/>
      <w:u w:val="single"/>
    </w:rPr>
  </w:style>
  <w:style w:type="paragraph" w:styleId="Footer">
    <w:name w:val="footer"/>
    <w:basedOn w:val="Normal"/>
    <w:link w:val="FooterChar"/>
    <w:rsid w:val="00212D13"/>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212D13"/>
    <w:rPr>
      <w:rFonts w:ascii="Times New Roman" w:eastAsia="Times New Roman" w:hAnsi="Times New Roman" w:cs="Times New Roman"/>
      <w:sz w:val="24"/>
      <w:szCs w:val="24"/>
      <w:lang w:val="en-GB"/>
    </w:rPr>
  </w:style>
  <w:style w:type="character" w:styleId="PageNumber">
    <w:name w:val="page number"/>
    <w:basedOn w:val="DefaultParagraphFont"/>
    <w:rsid w:val="00212D13"/>
  </w:style>
  <w:style w:type="paragraph" w:styleId="Header">
    <w:name w:val="header"/>
    <w:basedOn w:val="Normal"/>
    <w:link w:val="HeaderChar"/>
    <w:uiPriority w:val="99"/>
    <w:unhideWhenUsed/>
    <w:rsid w:val="00212D13"/>
    <w:pPr>
      <w:tabs>
        <w:tab w:val="center" w:pos="4680"/>
        <w:tab w:val="right" w:pos="936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212D13"/>
    <w:rPr>
      <w:rFonts w:ascii="Times New Roman" w:eastAsia="Times New Roman" w:hAnsi="Times New Roman" w:cs="Times New Roman"/>
      <w:sz w:val="24"/>
      <w:szCs w:val="24"/>
      <w:lang w:val="en-GB"/>
    </w:rPr>
  </w:style>
  <w:style w:type="table" w:customStyle="1" w:styleId="TableGrid1">
    <w:name w:val="Table Grid1"/>
    <w:basedOn w:val="TableNormal"/>
    <w:next w:val="TableGrid"/>
    <w:rsid w:val="00212D13"/>
    <w:pPr>
      <w:spacing w:after="0" w:line="240" w:lineRule="auto"/>
    </w:pPr>
    <w:rPr>
      <w:rFonts w:ascii="Georgia" w:eastAsia="Arial" w:hAnsi="Georgia"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81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0F2"/>
    <w:rPr>
      <w:rFonts w:ascii="Tahoma" w:hAnsi="Tahoma" w:cs="Tahoma"/>
      <w:sz w:val="16"/>
      <w:szCs w:val="16"/>
    </w:rPr>
  </w:style>
  <w:style w:type="paragraph" w:customStyle="1" w:styleId="ListParagraph2">
    <w:name w:val="List Paragraph 2"/>
    <w:basedOn w:val="ListParagraph"/>
    <w:uiPriority w:val="99"/>
    <w:qFormat/>
    <w:rsid w:val="00850A6B"/>
    <w:pPr>
      <w:spacing w:before="100" w:after="100" w:line="264" w:lineRule="auto"/>
      <w:ind w:left="1440" w:hanging="360"/>
      <w:contextualSpacing w:val="0"/>
    </w:pPr>
    <w:rPr>
      <w:rFonts w:ascii="Arial" w:hAnsi="Arial"/>
      <w:sz w:val="18"/>
      <w:lang w:val="en-GB"/>
    </w:rPr>
  </w:style>
  <w:style w:type="character" w:customStyle="1" w:styleId="ListParagraphChar">
    <w:name w:val="List Paragraph Char"/>
    <w:basedOn w:val="DefaultParagraphFont"/>
    <w:link w:val="ListParagraph"/>
    <w:uiPriority w:val="34"/>
    <w:rsid w:val="00850A6B"/>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2196B"/>
    <w:pPr>
      <w:spacing w:after="0" w:line="240" w:lineRule="auto"/>
      <w:ind w:left="720"/>
      <w:contextualSpacing/>
      <w:jc w:val="both"/>
    </w:pPr>
    <w:rPr>
      <w:rFonts w:ascii="Times New Roman" w:hAnsi="Times New Roman"/>
    </w:rPr>
  </w:style>
  <w:style w:type="character" w:styleId="Hyperlink">
    <w:name w:val="Hyperlink"/>
    <w:basedOn w:val="DefaultParagraphFont"/>
    <w:uiPriority w:val="99"/>
    <w:rsid w:val="00212D13"/>
    <w:rPr>
      <w:color w:val="0000FF"/>
      <w:u w:val="single"/>
    </w:rPr>
  </w:style>
  <w:style w:type="paragraph" w:styleId="Footer">
    <w:name w:val="footer"/>
    <w:basedOn w:val="Normal"/>
    <w:link w:val="FooterChar"/>
    <w:rsid w:val="00212D13"/>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212D13"/>
    <w:rPr>
      <w:rFonts w:ascii="Times New Roman" w:eastAsia="Times New Roman" w:hAnsi="Times New Roman" w:cs="Times New Roman"/>
      <w:sz w:val="24"/>
      <w:szCs w:val="24"/>
      <w:lang w:val="en-GB"/>
    </w:rPr>
  </w:style>
  <w:style w:type="character" w:styleId="PageNumber">
    <w:name w:val="page number"/>
    <w:basedOn w:val="DefaultParagraphFont"/>
    <w:rsid w:val="00212D13"/>
  </w:style>
  <w:style w:type="paragraph" w:styleId="Header">
    <w:name w:val="header"/>
    <w:basedOn w:val="Normal"/>
    <w:link w:val="HeaderChar"/>
    <w:uiPriority w:val="99"/>
    <w:unhideWhenUsed/>
    <w:rsid w:val="00212D13"/>
    <w:pPr>
      <w:tabs>
        <w:tab w:val="center" w:pos="4680"/>
        <w:tab w:val="right" w:pos="936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212D13"/>
    <w:rPr>
      <w:rFonts w:ascii="Times New Roman" w:eastAsia="Times New Roman" w:hAnsi="Times New Roman" w:cs="Times New Roman"/>
      <w:sz w:val="24"/>
      <w:szCs w:val="24"/>
      <w:lang w:val="en-GB"/>
    </w:rPr>
  </w:style>
  <w:style w:type="table" w:customStyle="1" w:styleId="TableGrid1">
    <w:name w:val="Table Grid1"/>
    <w:basedOn w:val="TableNormal"/>
    <w:next w:val="TableGrid"/>
    <w:rsid w:val="00212D13"/>
    <w:pPr>
      <w:spacing w:after="0" w:line="240" w:lineRule="auto"/>
    </w:pPr>
    <w:rPr>
      <w:rFonts w:ascii="Georgia" w:eastAsia="Arial" w:hAnsi="Georgia"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81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0F2"/>
    <w:rPr>
      <w:rFonts w:ascii="Tahoma" w:hAnsi="Tahoma" w:cs="Tahoma"/>
      <w:sz w:val="16"/>
      <w:szCs w:val="16"/>
    </w:rPr>
  </w:style>
  <w:style w:type="paragraph" w:customStyle="1" w:styleId="ListParagraph2">
    <w:name w:val="List Paragraph 2"/>
    <w:basedOn w:val="ListParagraph"/>
    <w:uiPriority w:val="99"/>
    <w:qFormat/>
    <w:rsid w:val="00850A6B"/>
    <w:pPr>
      <w:spacing w:before="100" w:after="100" w:line="264" w:lineRule="auto"/>
      <w:ind w:left="1440" w:hanging="360"/>
      <w:contextualSpacing w:val="0"/>
    </w:pPr>
    <w:rPr>
      <w:rFonts w:ascii="Arial" w:hAnsi="Arial"/>
      <w:sz w:val="18"/>
      <w:lang w:val="en-GB"/>
    </w:rPr>
  </w:style>
  <w:style w:type="character" w:customStyle="1" w:styleId="ListParagraphChar">
    <w:name w:val="List Paragraph Char"/>
    <w:basedOn w:val="DefaultParagraphFont"/>
    <w:link w:val="ListParagraph"/>
    <w:uiPriority w:val="34"/>
    <w:rsid w:val="00850A6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D219F-5AF3-4D06-A30B-6131D980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1447</Words>
  <Characters>8248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Josephine Asa Eleonor Gustafsson</cp:lastModifiedBy>
  <cp:revision>2</cp:revision>
  <dcterms:created xsi:type="dcterms:W3CDTF">2015-04-17T14:32:00Z</dcterms:created>
  <dcterms:modified xsi:type="dcterms:W3CDTF">2015-04-17T14:32:00Z</dcterms:modified>
</cp:coreProperties>
</file>